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rFonts w:ascii="Calibri" w:hAnsi="Calibri" w:eastAsia="Calibri" w:cs=""/>
                <w:b/>
                <w:kern w:val="0"/>
                <w:sz w:val="32"/>
                <w:szCs w:val="32"/>
                <w:highlight w:val="none"/>
                <w:shd w:fill="auto" w:val="clear"/>
                <w:lang w:val="pt-BR" w:eastAsia="en-US" w:bidi="ar-SA"/>
              </w:rPr>
            </w:pPr>
            <w:r>
              <w:rPr>
                <w:rFonts w:eastAsia="Calibri" w:cs=""/>
                <w:b/>
                <w:kern w:val="0"/>
                <w:sz w:val="32"/>
                <w:szCs w:val="32"/>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32"/>
                <w:szCs w:val="32"/>
                <w:shd w:fill="auto" w:val="clear"/>
                <w:lang w:val="pt-BR" w:eastAsia="en-US" w:bidi="ar-SA"/>
              </w:rPr>
              <w:t xml:space="preserve">AVISO DE DISPENSA DE LICITAÇÃO N° </w:t>
            </w:r>
            <w:r>
              <w:rPr>
                <w:rFonts w:eastAsia="Calibri" w:cs=""/>
                <w:b/>
                <w:kern w:val="0"/>
                <w:sz w:val="32"/>
                <w:szCs w:val="32"/>
                <w:shd w:fill="auto" w:val="clear"/>
                <w:lang w:val="pt-BR" w:eastAsia="en-US" w:bidi="ar-SA"/>
              </w:rPr>
              <w:t>1966/2025</w:t>
            </w:r>
          </w:p>
          <w:p>
            <w:pPr>
              <w:pStyle w:val="Normal"/>
              <w:widowControl/>
              <w:suppressAutoHyphens w:val="true"/>
              <w:spacing w:lineRule="auto" w:line="240" w:before="0" w:after="0"/>
              <w:jc w:val="center"/>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FUNDAMENTAÇÃO LEGAL: ART. 75, INCISO II, DA LEI FEDERAL Nº 14.133/2021;</w:t>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DECRETO MUNICIPAL Nº 19.637/2024;</w:t>
            </w:r>
          </w:p>
          <w:p>
            <w:pPr>
              <w:pStyle w:val="Normal"/>
              <w:widowControl/>
              <w:suppressAutoHyphens w:val="true"/>
              <w:spacing w:lineRule="auto" w:line="240" w:before="0" w:after="0"/>
              <w:jc w:val="center"/>
              <w:rPr>
                <w:rFonts w:ascii="Calibri" w:hAnsi="Calibri" w:eastAsia="" w:cs="Times New Roman" w:eastAsiaTheme="minorEastAsia"/>
                <w:color w:val="000000"/>
                <w:kern w:val="0"/>
                <w:sz w:val="20"/>
                <w:szCs w:val="20"/>
                <w:highlight w:val="none"/>
                <w:shd w:fill="auto" w:val="clear"/>
                <w:lang w:val="pt-BR" w:eastAsia="pt-BR" w:bidi="ar-SA"/>
              </w:rPr>
            </w:pPr>
            <w:r>
              <w:rPr>
                <w:rFonts w:eastAsia="" w:cs="Times New Roman" w:eastAsiaTheme="minorEastAsia"/>
                <w:color w:val="000000"/>
                <w:kern w:val="0"/>
                <w:sz w:val="20"/>
                <w:szCs w:val="20"/>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DADOS DO AVISO</w:t>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 xml:space="preserve">São José dos Campos, </w:t>
            </w:r>
            <w:r>
              <w:rPr>
                <w:rFonts w:eastAsia="Calibri" w:cs=""/>
                <w:kern w:val="0"/>
                <w:sz w:val="24"/>
                <w:szCs w:val="24"/>
                <w:shd w:fill="auto" w:val="clear"/>
                <w:lang w:val="pt-BR" w:eastAsia="en-US" w:bidi="ar-SA"/>
              </w:rPr>
              <w:t>04 de agosto de 2025.</w:t>
            </w:r>
          </w:p>
        </w:tc>
      </w:tr>
      <w:tr>
        <w:trPr/>
        <w:tc>
          <w:tcPr>
            <w:tcW w:w="10605" w:type="dxa"/>
            <w:gridSpan w:val="2"/>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 xml:space="preserve">PROCESSO ADMINISTRATIVO: </w:t>
            </w:r>
            <w:r>
              <w:rPr>
                <w:rFonts w:eastAsia="Calibri" w:cs=""/>
                <w:b/>
                <w:kern w:val="0"/>
                <w:sz w:val="24"/>
                <w:szCs w:val="24"/>
                <w:shd w:fill="auto" w:val="clear"/>
                <w:lang w:val="pt-BR" w:eastAsia="en-US" w:bidi="ar-SA"/>
              </w:rPr>
              <w:t>82927/2025</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DATA E HORA LIMITE PARA ENVIO DA PROPOSTA DE PREÇO</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 xml:space="preserve">Até dia </w:t>
            </w:r>
            <w:r>
              <w:rPr>
                <w:rFonts w:eastAsia="Calibri" w:cs=""/>
                <w:b/>
                <w:kern w:val="0"/>
                <w:sz w:val="24"/>
                <w:szCs w:val="24"/>
                <w:shd w:fill="auto" w:val="clear"/>
                <w:lang w:val="pt-BR" w:eastAsia="en-US" w:bidi="ar-SA"/>
              </w:rPr>
              <w:t>07/08/2025</w:t>
            </w:r>
          </w:p>
          <w:p>
            <w:pPr>
              <w:pStyle w:val="Normal"/>
              <w:widowControl/>
              <w:tabs>
                <w:tab w:val="clear" w:pos="708"/>
                <w:tab w:val="left" w:pos="1635" w:leader="none"/>
              </w:tabs>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Horário: 17h</w:t>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REFERÊNCIA DE HORÁRIO</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tcPr>
          <w:p>
            <w:pPr>
              <w:pStyle w:val="Normal"/>
              <w:widowControl/>
              <w:suppressAutoHyphens w:val="true"/>
              <w:spacing w:lineRule="auto" w:line="240" w:before="0" w:after="0"/>
              <w:jc w:val="center"/>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ENDEREÇO ELETRÔNICO PARA ENVIO DA PROPOSTA</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tcPr>
          <w:p>
            <w:pPr>
              <w:pStyle w:val="Normal"/>
              <w:widowControl/>
              <w:suppressAutoHyphens w:val="true"/>
              <w:spacing w:lineRule="auto" w:line="240" w:before="0" w:after="0"/>
              <w:jc w:val="center"/>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thais.rodrigues@sjc.sp.gov.br</w:t>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 xml:space="preserve">O </w:t>
            </w:r>
            <w:r>
              <w:rPr>
                <w:rFonts w:eastAsia="Calibri" w:cs=""/>
                <w:b/>
                <w:kern w:val="0"/>
                <w:sz w:val="24"/>
                <w:szCs w:val="24"/>
                <w:shd w:fill="auto" w:val="clear"/>
                <w:lang w:val="pt-BR" w:eastAsia="en-US" w:bidi="ar-SA"/>
              </w:rPr>
              <w:t>MUNICÍPIO DE SÃO JOSÉ DOS CAMPOS</w:t>
            </w:r>
            <w:r>
              <w:rPr>
                <w:rFonts w:eastAsia="Calibri" w:cs=""/>
                <w:kern w:val="0"/>
                <w:sz w:val="24"/>
                <w:szCs w:val="24"/>
                <w:shd w:fill="auto" w:val="clear"/>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shd w:fill="auto" w:val="clear"/>
                <w:lang w:val="pt-BR" w:eastAsia="pt-BR" w:bidi="ar-SA"/>
              </w:rPr>
              <w:t xml:space="preserve">Rua José de Alencar, 123, </w:t>
            </w:r>
            <w:r>
              <w:rPr>
                <w:rFonts w:eastAsia="Calibri" w:cs=""/>
                <w:kern w:val="0"/>
                <w:sz w:val="24"/>
                <w:szCs w:val="24"/>
                <w:shd w:fill="auto" w:val="clear"/>
                <w:lang w:val="pt-BR" w:eastAsia="en-US" w:bidi="ar-SA"/>
              </w:rPr>
              <w:t xml:space="preserve">inscrita no </w:t>
            </w:r>
            <w:r>
              <w:rPr>
                <w:rFonts w:eastAsia="" w:cs="Calibri" w:cstheme="minorHAnsi" w:eastAsiaTheme="minorEastAsia"/>
                <w:color w:val="000000"/>
                <w:kern w:val="0"/>
                <w:sz w:val="24"/>
                <w:szCs w:val="24"/>
                <w:shd w:fill="auto" w:val="clear"/>
                <w:lang w:val="pt-BR" w:eastAsia="pt-BR" w:bidi="ar-SA"/>
              </w:rPr>
              <w:t>CNPJ: 46.643.466/0001-06</w:t>
            </w:r>
            <w:r>
              <w:rPr>
                <w:rFonts w:eastAsia="Calibri" w:cs=""/>
                <w:kern w:val="0"/>
                <w:sz w:val="24"/>
                <w:szCs w:val="24"/>
                <w:shd w:fill="auto" w:val="clear"/>
                <w:lang w:val="pt-BR" w:eastAsia="en-US" w:bidi="ar-SA"/>
              </w:rPr>
              <w:t xml:space="preserve">, torna pública a manifestação de interesse em obter propostas adicionais de eventuais interessados através de realização da </w:t>
            </w:r>
            <w:r>
              <w:rPr>
                <w:rFonts w:eastAsia="Calibri" w:cs=""/>
                <w:b/>
                <w:kern w:val="0"/>
                <w:sz w:val="24"/>
                <w:szCs w:val="24"/>
                <w:shd w:fill="auto" w:val="clear"/>
                <w:lang w:val="pt-BR" w:eastAsia="en-US" w:bidi="ar-SA"/>
              </w:rPr>
              <w:t>DISPENSA DE LICITAÇÃO</w:t>
            </w:r>
            <w:r>
              <w:rPr>
                <w:rFonts w:eastAsia="Calibri" w:cs=""/>
                <w:kern w:val="0"/>
                <w:sz w:val="24"/>
                <w:szCs w:val="24"/>
                <w:shd w:fill="auto" w:val="clear"/>
                <w:lang w:val="pt-BR" w:eastAsia="en-US" w:bidi="ar-SA"/>
              </w:rPr>
              <w:t xml:space="preserve">, com critério de julgamento </w:t>
            </w:r>
            <w:r>
              <w:rPr>
                <w:rFonts w:eastAsia="Calibri" w:cs=""/>
                <w:b/>
                <w:kern w:val="0"/>
                <w:sz w:val="24"/>
                <w:szCs w:val="24"/>
                <w:shd w:fill="auto" w:val="clear"/>
                <w:lang w:val="pt-BR" w:eastAsia="en-US" w:bidi="ar-SA"/>
              </w:rPr>
              <w:t>MENOR PREÇO POR ITEM</w:t>
            </w:r>
            <w:r>
              <w:rPr>
                <w:rFonts w:eastAsia="Calibri" w:cs=""/>
                <w:kern w:val="0"/>
                <w:sz w:val="24"/>
                <w:szCs w:val="24"/>
                <w:shd w:fill="auto" w:val="clear"/>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ascii="Calibri" w:hAnsi="Calibri" w:eastAsia="" w:cs="Times New Roman" w:eastAsiaTheme="minorEastAsia"/>
                <w:color w:val="000000"/>
                <w:kern w:val="0"/>
                <w:sz w:val="24"/>
                <w:szCs w:val="24"/>
                <w:highlight w:val="none"/>
                <w:shd w:fill="auto" w:val="clear"/>
                <w:lang w:val="pt-BR" w:eastAsia="pt-BR" w:bidi="ar-SA"/>
              </w:rPr>
            </w:pPr>
            <w:r>
              <w:rPr>
                <w:rFonts w:eastAsia="" w:cs="Times New Roman" w:eastAsiaTheme="minorEastAsia"/>
                <w:color w:val="000000"/>
                <w:kern w:val="0"/>
                <w:sz w:val="24"/>
                <w:szCs w:val="24"/>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Calibri" w:cstheme="minorHAnsi"/>
                <w:b/>
                <w:kern w:val="0"/>
                <w:sz w:val="24"/>
                <w:szCs w:val="24"/>
                <w:shd w:fill="auto" w:val="clear"/>
                <w:lang w:val="pt-BR" w:eastAsia="en-US" w:bidi="ar-SA"/>
              </w:rPr>
              <w:t>OBJETO</w:t>
            </w:r>
            <w:r>
              <w:rPr>
                <w:rFonts w:eastAsia="Calibri" w:cs="Calibri" w:cstheme="minorHAnsi"/>
                <w:kern w:val="0"/>
                <w:sz w:val="24"/>
                <w:szCs w:val="24"/>
                <w:shd w:fill="auto" w:val="clear"/>
                <w:lang w:val="pt-BR" w:eastAsia="en-US" w:bidi="ar-SA"/>
              </w:rPr>
              <w:t xml:space="preserve">: </w:t>
            </w:r>
            <w:r>
              <w:rPr>
                <w:rFonts w:eastAsia="Calibri" w:cs="Calibri" w:cstheme="minorHAnsi"/>
                <w:kern w:val="0"/>
                <w:sz w:val="24"/>
                <w:szCs w:val="24"/>
                <w:shd w:fill="auto" w:val="clear"/>
                <w:lang w:val="pt-BR" w:eastAsia="en-US" w:bidi="ar-SA"/>
              </w:rPr>
              <w:t>Aquisição de tampão de ferro,</w:t>
            </w:r>
            <w:r>
              <w:rPr>
                <w:rFonts w:eastAsia="Calibri" w:cs="Calibri" w:cstheme="minorHAnsi"/>
                <w:kern w:val="0"/>
                <w:sz w:val="24"/>
                <w:szCs w:val="24"/>
                <w:shd w:fill="auto" w:val="clear"/>
                <w:lang w:val="pt-BR" w:eastAsia="en-US" w:bidi="ar-SA"/>
              </w:rPr>
              <w:t xml:space="preserve"> conforme Termo de Referência.</w:t>
            </w:r>
          </w:p>
          <w:p>
            <w:pPr>
              <w:pStyle w:val="Normal"/>
              <w:widowControl/>
              <w:suppressAutoHyphens w:val="true"/>
              <w:spacing w:lineRule="auto" w:line="240" w:before="0" w:after="0"/>
              <w:jc w:val="both"/>
              <w:rPr>
                <w:rFonts w:ascii="Calibri" w:hAnsi="Calibri" w:eastAsia="Calibri" w:cs="Calibri" w:cstheme="minorHAnsi"/>
                <w:kern w:val="0"/>
                <w:sz w:val="24"/>
                <w:szCs w:val="24"/>
                <w:highlight w:val="none"/>
                <w:shd w:fill="auto" w:val="clear"/>
                <w:lang w:val="pt-BR" w:eastAsia="en-US" w:bidi="ar-SA"/>
              </w:rPr>
            </w:pPr>
            <w:r>
              <w:rPr>
                <w:rFonts w:eastAsia="Calibri" w:cs="Calibri" w:cstheme="minorHAnsi"/>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 w:cs="Times New Roman" w:eastAsiaTheme="minorEastAsia"/>
                <w:color w:val="000000"/>
                <w:kern w:val="0"/>
                <w:sz w:val="24"/>
                <w:szCs w:val="24"/>
                <w:highlight w:val="none"/>
                <w:shd w:fill="auto" w:val="clear"/>
                <w:lang w:val="pt-BR" w:eastAsia="pt-BR" w:bidi="ar-SA"/>
              </w:rPr>
            </w:pPr>
            <w:r>
              <w:rPr>
                <w:rFonts w:eastAsia="" w:cs="Times New Roman" w:eastAsiaTheme="minorEastAsia"/>
                <w:color w:val="000000"/>
                <w:kern w:val="0"/>
                <w:sz w:val="24"/>
                <w:szCs w:val="24"/>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u w:val="single"/>
                <w:shd w:fill="auto" w:val="clear"/>
                <w:lang w:val="pt-BR" w:eastAsia="en-US" w:bidi="ar-SA"/>
              </w:rPr>
              <w:t>ANEXOS DESTE AVISO</w:t>
            </w:r>
          </w:p>
          <w:p>
            <w:pPr>
              <w:pStyle w:val="Normal"/>
              <w:widowControl/>
              <w:suppressAutoHyphens w:val="true"/>
              <w:spacing w:lineRule="auto" w:line="240" w:before="0" w:after="0"/>
              <w:jc w:val="center"/>
              <w:rPr>
                <w:rFonts w:ascii="Calibri" w:hAnsi="Calibri" w:eastAsia="Calibri" w:cs=""/>
                <w:b/>
                <w:kern w:val="0"/>
                <w:sz w:val="24"/>
                <w:szCs w:val="24"/>
                <w:highlight w:val="none"/>
                <w:u w:val="single"/>
                <w:shd w:fill="auto" w:val="clear"/>
                <w:lang w:val="pt-BR" w:eastAsia="en-US" w:bidi="ar-SA"/>
              </w:rPr>
            </w:pPr>
            <w:r>
              <w:rPr>
                <w:rFonts w:eastAsia="Calibri" w:cs=""/>
                <w:b/>
                <w:kern w:val="0"/>
                <w:sz w:val="24"/>
                <w:szCs w:val="24"/>
                <w:u w:val="single"/>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 – Modelo de Proposta</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II - Termo de Referência</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III – Relação de Documentos de Regularidade</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 xml:space="preserve">Anexo IV - </w:t>
            </w:r>
            <w:bookmarkStart w:id="0" w:name="_GoBack"/>
            <w:bookmarkEnd w:id="0"/>
            <w:r>
              <w:rPr>
                <w:rFonts w:eastAsia="Calibri" w:cs=""/>
                <w:kern w:val="0"/>
                <w:sz w:val="24"/>
                <w:szCs w:val="24"/>
                <w:shd w:fill="auto" w:val="clear"/>
                <w:lang w:val="pt-BR" w:eastAsia="en-US" w:bidi="ar-SA"/>
              </w:rPr>
              <w:t>Declaração</w:t>
            </w:r>
          </w:p>
          <w:p>
            <w:pPr>
              <w:pStyle w:val="Normal"/>
              <w:widowControl/>
              <w:suppressAutoHyphens w:val="true"/>
              <w:spacing w:lineRule="auto" w:line="240" w:before="0" w:after="0"/>
              <w:jc w:val="both"/>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highlight w:val="none"/>
          <w:shd w:fill="auto" w:val="clear"/>
        </w:rPr>
      </w:pPr>
      <w:r>
        <w:rPr>
          <w:b/>
          <w:sz w:val="24"/>
          <w:szCs w:val="24"/>
          <w:shd w:fill="auto" w:val="clear"/>
        </w:rPr>
        <w:t xml:space="preserve">AVISO DE DISPENSA DE LICITAÇÃO N° </w:t>
      </w:r>
      <w:r>
        <w:rPr>
          <w:b/>
          <w:sz w:val="24"/>
          <w:szCs w:val="24"/>
          <w:shd w:fill="auto" w:val="clear"/>
        </w:rPr>
        <w:t>1966/2025</w:t>
      </w:r>
    </w:p>
    <w:p>
      <w:pPr>
        <w:pStyle w:val="Normal"/>
        <w:spacing w:lineRule="auto" w:line="240" w:before="0" w:after="0"/>
        <w:ind w:left="-142"/>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REGÊNCIA LEGAL</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1.1 Esta contratação dar-se-á através de Dispensa de Licitação regida pelos dispositivos legais: </w:t>
      </w:r>
    </w:p>
    <w:p>
      <w:pPr>
        <w:pStyle w:val="ListParagraph"/>
        <w:spacing w:lineRule="auto" w:line="240" w:before="0" w:after="0"/>
        <w:ind w:left="218"/>
        <w:contextualSpacing/>
        <w:jc w:val="both"/>
        <w:rPr>
          <w:highlight w:val="none"/>
          <w:shd w:fill="auto" w:val="clear"/>
        </w:rPr>
      </w:pPr>
      <w:r>
        <w:rPr>
          <w:sz w:val="24"/>
          <w:szCs w:val="24"/>
          <w:shd w:fill="auto" w:val="clear"/>
        </w:rPr>
        <w:t>a) Lei nº 14.133/2021, Art. 75, Inc. II; e</w:t>
      </w:r>
    </w:p>
    <w:p>
      <w:pPr>
        <w:pStyle w:val="ListParagraph"/>
        <w:spacing w:lineRule="auto" w:line="240" w:before="0" w:after="0"/>
        <w:ind w:left="218"/>
        <w:contextualSpacing/>
        <w:jc w:val="both"/>
        <w:rPr>
          <w:highlight w:val="none"/>
          <w:shd w:fill="auto" w:val="clear"/>
        </w:rPr>
      </w:pPr>
      <w:r>
        <w:rPr>
          <w:sz w:val="24"/>
          <w:szCs w:val="24"/>
          <w:shd w:fill="auto" w:val="clear"/>
        </w:rPr>
        <w:t>b) Decreto nº 19.637 de 21 de Maio de 2024;</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OBJETO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2.1 Conforme condições constantes no Termo de Referência, Anexo II deste Aviso.</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CONDIÇÕES DE PARTICIPAÇÃO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jc w:val="both"/>
        <w:rPr>
          <w:highlight w:val="none"/>
          <w:shd w:fill="auto" w:val="clear"/>
        </w:rPr>
      </w:pPr>
      <w:r>
        <w:rPr>
          <w:sz w:val="24"/>
          <w:szCs w:val="24"/>
          <w:shd w:fill="auto" w:val="clear"/>
        </w:rPr>
        <w:t xml:space="preserve">3.2 Não poderão participar desta Dispensa de Licitação os interessados: </w:t>
      </w:r>
    </w:p>
    <w:p>
      <w:pPr>
        <w:pStyle w:val="Normal"/>
        <w:spacing w:lineRule="auto" w:line="240" w:before="0" w:after="0"/>
        <w:ind w:left="218"/>
        <w:jc w:val="both"/>
        <w:rPr>
          <w:highlight w:val="none"/>
          <w:shd w:fill="auto" w:val="clear"/>
        </w:rPr>
      </w:pPr>
      <w:r>
        <w:rPr>
          <w:sz w:val="24"/>
          <w:szCs w:val="24"/>
          <w:shd w:fill="auto" w:val="clear"/>
        </w:rPr>
        <w:t xml:space="preserve">a) Proibidos de participar de licitações e celebrar contratos administrativos, na forma da legislação vigente. </w:t>
      </w:r>
    </w:p>
    <w:p>
      <w:pPr>
        <w:pStyle w:val="Normal"/>
        <w:spacing w:lineRule="auto" w:line="240" w:before="0" w:after="0"/>
        <w:ind w:left="218"/>
        <w:jc w:val="both"/>
        <w:rPr>
          <w:highlight w:val="none"/>
          <w:shd w:fill="auto" w:val="clear"/>
        </w:rPr>
      </w:pPr>
      <w:r>
        <w:rPr>
          <w:sz w:val="24"/>
          <w:szCs w:val="24"/>
          <w:shd w:fill="auto" w:val="clear"/>
        </w:rPr>
        <w:t xml:space="preserve">b) Que não atendam às condições deste Aviso e Termo de Referência; </w:t>
      </w:r>
    </w:p>
    <w:p>
      <w:pPr>
        <w:pStyle w:val="Normal"/>
        <w:spacing w:lineRule="auto" w:line="240" w:before="0" w:after="0"/>
        <w:ind w:left="218"/>
        <w:jc w:val="both"/>
        <w:rPr>
          <w:highlight w:val="none"/>
          <w:shd w:fill="auto" w:val="clear"/>
        </w:rPr>
      </w:pPr>
      <w:r>
        <w:rPr>
          <w:sz w:val="24"/>
          <w:szCs w:val="24"/>
          <w:shd w:fill="auto" w:val="clear"/>
        </w:rPr>
        <w:t xml:space="preserve">c) Estrangeiros que não tenham representação legal no Brasil com poderes expressos para receber citação e responder administrativa ou judicialmente; </w:t>
      </w:r>
    </w:p>
    <w:p>
      <w:pPr>
        <w:pStyle w:val="Normal"/>
        <w:spacing w:lineRule="auto" w:line="240" w:before="0" w:after="0"/>
        <w:ind w:left="218"/>
        <w:jc w:val="both"/>
        <w:rPr>
          <w:highlight w:val="none"/>
          <w:shd w:fill="auto" w:val="clear"/>
        </w:rPr>
      </w:pPr>
      <w:r>
        <w:rPr>
          <w:sz w:val="24"/>
          <w:szCs w:val="24"/>
          <w:shd w:fill="auto" w:val="clear"/>
        </w:rPr>
        <w:t xml:space="preserve">d) Que se enquadrem nas vedações previstas no artigo 14, da Lei Federal n° 14.133/21; </w:t>
      </w:r>
    </w:p>
    <w:p>
      <w:pPr>
        <w:pStyle w:val="Normal"/>
        <w:spacing w:lineRule="auto" w:line="240" w:before="0" w:after="0"/>
        <w:ind w:left="218"/>
        <w:jc w:val="both"/>
        <w:rPr>
          <w:highlight w:val="none"/>
          <w:shd w:fill="auto" w:val="clear"/>
        </w:rPr>
      </w:pPr>
      <w:r>
        <w:rPr>
          <w:sz w:val="24"/>
          <w:szCs w:val="24"/>
          <w:shd w:fill="auto" w:val="clear"/>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ESPECIFICAÇÕES DO OBJETO, DOTAÇÃO ORÇAMENTÁRIA, PRAZOS E LOCAL DE ENTREGA</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contextualSpacing/>
        <w:jc w:val="both"/>
        <w:rPr>
          <w:highlight w:val="none"/>
          <w:shd w:fill="auto" w:val="clear"/>
        </w:rPr>
      </w:pPr>
      <w:r>
        <w:rPr>
          <w:sz w:val="24"/>
          <w:szCs w:val="24"/>
          <w:shd w:fill="auto" w:val="clear"/>
        </w:rPr>
        <w:t xml:space="preserve"> </w:t>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PRAZO E FORMA PARA ENVIO DA PROPOSTA DE PREÇO</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pPr>
      <w:r>
        <w:rPr>
          <w:sz w:val="24"/>
          <w:szCs w:val="24"/>
          <w:shd w:fill="auto" w:val="clear"/>
        </w:rPr>
        <w:t>5.1 A proposta de preços deverá ser encaminhada via e-mail, para o endereço eletrônico: thais.rodrigues</w:t>
      </w:r>
      <w:hyperlink r:id="rId2">
        <w:r>
          <w:rPr>
            <w:rStyle w:val="ListLabel109"/>
            <w:sz w:val="24"/>
            <w:szCs w:val="24"/>
            <w:shd w:fill="auto" w:val="clear"/>
          </w:rPr>
          <w:t>@sjc.sp.gov.br</w:t>
        </w:r>
      </w:hyperlink>
      <w:r>
        <w:rPr>
          <w:rStyle w:val="InternetLink"/>
          <w:color w:themeColor="text1" w:val="000000"/>
          <w:sz w:val="24"/>
          <w:szCs w:val="24"/>
          <w:u w:val="none"/>
          <w:shd w:fill="auto" w:val="clear"/>
        </w:rPr>
        <w:t xml:space="preserve">, </w:t>
      </w:r>
      <w:r>
        <w:rPr>
          <w:color w:themeColor="text1" w:val="000000"/>
          <w:sz w:val="24"/>
          <w:szCs w:val="24"/>
          <w:shd w:fill="auto" w:val="clear"/>
        </w:rPr>
        <w:t>f</w:t>
      </w:r>
      <w:r>
        <w:rPr>
          <w:sz w:val="24"/>
          <w:szCs w:val="24"/>
          <w:shd w:fill="auto" w:val="clear"/>
        </w:rPr>
        <w:t xml:space="preserve">azendo referência no assunto do e-mail a DISPENSA DE LICITAÇÃO N° </w:t>
      </w:r>
      <w:r>
        <w:rPr>
          <w:sz w:val="24"/>
          <w:szCs w:val="24"/>
          <w:shd w:fill="auto" w:val="clear"/>
        </w:rPr>
        <w:t>1966/2025.</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 xml:space="preserve">PROPOSTA DE PREÇO </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6.1 A proposta de preço deverá ser apresentada, conforme modelo constante do Anexo I, na forma, prazo e condições estipulados neste Aviso e seus anexos.</w:t>
      </w:r>
    </w:p>
    <w:p>
      <w:pPr>
        <w:pStyle w:val="Normal"/>
        <w:spacing w:lineRule="auto" w:line="240" w:before="0" w:after="0"/>
        <w:ind w:left="218"/>
        <w:jc w:val="both"/>
        <w:rPr>
          <w:highlight w:val="none"/>
          <w:shd w:fill="auto" w:val="clear"/>
        </w:rPr>
      </w:pPr>
      <w:r>
        <w:rPr>
          <w:sz w:val="24"/>
          <w:szCs w:val="24"/>
          <w:shd w:fill="auto" w:val="clear"/>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jc w:val="both"/>
        <w:rPr>
          <w:highlight w:val="none"/>
          <w:shd w:fill="auto" w:val="clear"/>
        </w:rPr>
      </w:pPr>
      <w:r>
        <w:rPr>
          <w:sz w:val="24"/>
          <w:szCs w:val="24"/>
          <w:shd w:fill="auto" w:val="clear"/>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ind w:hanging="0" w:left="284"/>
        <w:contextualSpacing/>
        <w:jc w:val="both"/>
        <w:rPr>
          <w:highlight w:val="none"/>
          <w:shd w:fill="auto" w:val="clear"/>
        </w:rPr>
      </w:pPr>
      <w:r>
        <w:rPr>
          <w:sz w:val="24"/>
          <w:szCs w:val="24"/>
          <w:shd w:fill="auto" w:val="clear"/>
        </w:rPr>
        <w:t>A proposta de preço que não estiver em consonância com as exigências deste Aviso será desclassificada.</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7. CRITÉRIO DE JULGAMENTO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u w:val="single"/>
          <w:shd w:fill="auto" w:val="clear"/>
        </w:rPr>
        <w:t xml:space="preserve">7.1 PROPOSTAS DE PREÇOS </w:t>
      </w:r>
    </w:p>
    <w:p>
      <w:pPr>
        <w:pStyle w:val="ListParagraph"/>
        <w:spacing w:lineRule="auto" w:line="240" w:before="0" w:after="0"/>
        <w:ind w:left="218"/>
        <w:contextualSpacing/>
        <w:jc w:val="both"/>
        <w:rPr>
          <w:highlight w:val="none"/>
          <w:shd w:fill="auto" w:val="clear"/>
        </w:rPr>
      </w:pPr>
      <w:r>
        <w:rPr>
          <w:sz w:val="24"/>
          <w:szCs w:val="24"/>
          <w:shd w:fill="auto" w:val="clear"/>
        </w:rPr>
        <w:t xml:space="preserve">7.1.1 As propostas apresentadas em consonância com as exigências do Aviso serão classificadas e será declara vencedora a que apresentar o </w:t>
      </w:r>
      <w:r>
        <w:rPr>
          <w:b/>
          <w:sz w:val="24"/>
          <w:szCs w:val="24"/>
          <w:shd w:fill="auto" w:val="clear"/>
        </w:rPr>
        <w:t>menor preço</w:t>
      </w:r>
      <w:r>
        <w:rPr>
          <w:sz w:val="24"/>
          <w:szCs w:val="24"/>
          <w:shd w:fill="auto" w:val="clear"/>
        </w:rPr>
        <w:t>.</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firstLine="218"/>
        <w:jc w:val="both"/>
        <w:rPr>
          <w:highlight w:val="none"/>
          <w:shd w:fill="auto" w:val="clear"/>
        </w:rPr>
      </w:pPr>
      <w:r>
        <w:rPr>
          <w:b/>
          <w:sz w:val="24"/>
          <w:szCs w:val="24"/>
          <w:shd w:fill="auto" w:val="clear"/>
        </w:rPr>
        <w:t>8. HABILITAÇÃO</w:t>
      </w:r>
    </w:p>
    <w:p>
      <w:pPr>
        <w:pStyle w:val="Normal"/>
        <w:spacing w:lineRule="auto" w:line="240" w:before="0" w:after="0"/>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8.1 </w:t>
      </w:r>
      <w:r>
        <w:rPr>
          <w:b/>
          <w:sz w:val="24"/>
          <w:szCs w:val="24"/>
          <w:u w:val="single"/>
          <w:shd w:fill="auto" w:val="clear"/>
        </w:rPr>
        <w:t>A empresa declarada vencedora será comunicada para apresentar os documentos de regularidade em até 03 (três) dias úteis</w:t>
      </w:r>
      <w:r>
        <w:rPr>
          <w:sz w:val="24"/>
          <w:szCs w:val="24"/>
          <w:shd w:fill="auto" w:val="clear"/>
        </w:rPr>
        <w:t>.</w:t>
      </w:r>
    </w:p>
    <w:p>
      <w:pPr>
        <w:pStyle w:val="Normal"/>
        <w:spacing w:lineRule="auto" w:line="240" w:before="0" w:after="0"/>
        <w:ind w:left="218"/>
        <w:jc w:val="both"/>
        <w:rPr>
          <w:highlight w:val="none"/>
          <w:shd w:fill="auto" w:val="clear"/>
        </w:rPr>
      </w:pPr>
      <w:r>
        <w:rPr>
          <w:sz w:val="24"/>
          <w:szCs w:val="24"/>
          <w:shd w:fill="auto" w:val="clear"/>
        </w:rPr>
        <w:t>8.2</w:t>
      </w:r>
      <w:r>
        <w:rPr>
          <w:b/>
          <w:sz w:val="24"/>
          <w:szCs w:val="24"/>
          <w:shd w:fill="auto" w:val="clear"/>
        </w:rPr>
        <w:t xml:space="preserve"> </w:t>
      </w:r>
      <w:r>
        <w:rPr>
          <w:sz w:val="24"/>
          <w:szCs w:val="24"/>
          <w:shd w:fill="auto" w:val="clear"/>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highlight w:val="none"/>
          <w:shd w:fill="auto" w:val="clear"/>
        </w:rPr>
      </w:pPr>
      <w:r>
        <w:rPr>
          <w:sz w:val="24"/>
          <w:szCs w:val="24"/>
          <w:shd w:fill="auto" w:val="clear"/>
        </w:rPr>
        <w:t xml:space="preserve">8.3 Antes da formalização a Administração deverá também consultar: </w:t>
      </w:r>
    </w:p>
    <w:p>
      <w:pPr>
        <w:pStyle w:val="Normal"/>
        <w:spacing w:lineRule="auto" w:line="240" w:before="0" w:after="0"/>
        <w:ind w:left="284"/>
        <w:jc w:val="both"/>
        <w:rPr/>
      </w:pPr>
      <w:r>
        <w:rPr>
          <w:sz w:val="24"/>
          <w:szCs w:val="24"/>
          <w:shd w:fill="auto" w:val="clear"/>
        </w:rPr>
        <w:t>I - Cadastro Nacional de Empresas Inidôneas e Suspensas - CEIS, bem como Cadastro Nacional de Empresas Punidas- CNEP (art. 91, § 4º, da Lei Federal n. 14.133, de 2021), mantido pela Controladoria-Geral da União (</w:t>
      </w:r>
      <w:hyperlink r:id="rId3">
        <w:r>
          <w:rPr>
            <w:rStyle w:val="Hyperlink"/>
            <w:sz w:val="24"/>
            <w:szCs w:val="24"/>
            <w:shd w:fill="auto" w:val="clear"/>
          </w:rPr>
          <w:t>www.portaldatransparencia.gov.br/ceis</w:t>
        </w:r>
      </w:hyperlink>
      <w:r>
        <w:rPr>
          <w:sz w:val="24"/>
          <w:szCs w:val="24"/>
          <w:shd w:fill="auto" w:val="clear"/>
        </w:rPr>
        <w:t xml:space="preserve">); </w:t>
      </w:r>
    </w:p>
    <w:p>
      <w:pPr>
        <w:pStyle w:val="Normal"/>
        <w:spacing w:lineRule="auto" w:line="240" w:before="0" w:after="0"/>
        <w:ind w:left="284"/>
        <w:jc w:val="both"/>
        <w:rPr>
          <w:highlight w:val="none"/>
          <w:shd w:fill="auto" w:val="clear"/>
        </w:rPr>
      </w:pPr>
      <w:r>
        <w:rPr>
          <w:sz w:val="24"/>
          <w:szCs w:val="24"/>
          <w:shd w:fill="auto" w:val="clear"/>
        </w:rPr>
        <w:t xml:space="preserve">II - Lista consolidada de Inabilitados e Inidôneos, mantida pelo Tribunal de Contas da União- TCU; </w:t>
      </w:r>
    </w:p>
    <w:p>
      <w:pPr>
        <w:pStyle w:val="Normal"/>
        <w:spacing w:lineRule="auto" w:line="240" w:before="0" w:after="0"/>
        <w:ind w:left="284"/>
        <w:jc w:val="both"/>
        <w:rPr>
          <w:highlight w:val="none"/>
          <w:shd w:fill="auto" w:val="clear"/>
        </w:rPr>
      </w:pPr>
      <w:r>
        <w:rPr>
          <w:sz w:val="24"/>
          <w:szCs w:val="24"/>
          <w:shd w:fill="auto" w:val="clear"/>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9. PENALIDADES E SANÇÕES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left="284"/>
        <w:jc w:val="both"/>
        <w:rPr>
          <w:highlight w:val="none"/>
          <w:shd w:fill="auto" w:val="clear"/>
        </w:rPr>
      </w:pPr>
      <w:r>
        <w:rPr>
          <w:rFonts w:cs="Calibri" w:cstheme="minorHAnsi"/>
          <w:sz w:val="24"/>
          <w:szCs w:val="24"/>
          <w:shd w:fill="auto" w:val="clear"/>
        </w:rPr>
        <w:t>9.1.</w:t>
      </w:r>
      <w:r>
        <w:rPr>
          <w:sz w:val="24"/>
          <w:szCs w:val="24"/>
          <w:shd w:fill="auto" w:val="clear"/>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jc w:val="both"/>
        <w:rPr>
          <w:highlight w:val="none"/>
          <w:shd w:fill="auto" w:val="clear"/>
        </w:rPr>
      </w:pPr>
      <w:r>
        <w:rPr>
          <w:sz w:val="24"/>
          <w:szCs w:val="24"/>
          <w:shd w:fill="auto" w:val="clear"/>
        </w:rPr>
        <w:t xml:space="preserve">A. Advertência - quando não se justificar a imposição de penalidade mais grave,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A1 - dar causa à inexecução parcial do contrato. </w:t>
      </w:r>
    </w:p>
    <w:p>
      <w:pPr>
        <w:pStyle w:val="Normal"/>
        <w:spacing w:lineRule="auto" w:line="240" w:before="0" w:after="0"/>
        <w:ind w:left="284"/>
        <w:jc w:val="both"/>
        <w:rPr>
          <w:highlight w:val="none"/>
          <w:shd w:fill="auto" w:val="clear"/>
        </w:rPr>
      </w:pPr>
      <w:r>
        <w:rPr>
          <w:sz w:val="24"/>
          <w:szCs w:val="24"/>
          <w:shd w:fill="auto" w:val="clear"/>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jc w:val="both"/>
        <w:rPr>
          <w:highlight w:val="none"/>
          <w:shd w:fill="auto" w:val="clear"/>
        </w:rPr>
      </w:pPr>
      <w:r>
        <w:rPr>
          <w:sz w:val="24"/>
          <w:szCs w:val="24"/>
          <w:shd w:fill="auto" w:val="clear"/>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C1 - dar causa à inexecução parcial do contrato que cause grave dano à Administração, ao funcionamento dos serviços públicos ou ao interesse coletivo; </w:t>
      </w:r>
    </w:p>
    <w:p>
      <w:pPr>
        <w:pStyle w:val="Normal"/>
        <w:spacing w:lineRule="auto" w:line="240" w:before="0" w:after="0"/>
        <w:ind w:firstLine="424" w:left="284"/>
        <w:jc w:val="both"/>
        <w:rPr>
          <w:highlight w:val="none"/>
          <w:shd w:fill="auto" w:val="clear"/>
        </w:rPr>
      </w:pPr>
      <w:r>
        <w:rPr>
          <w:sz w:val="24"/>
          <w:szCs w:val="24"/>
          <w:shd w:fill="auto" w:val="clear"/>
        </w:rPr>
        <w:t xml:space="preserve">C2 - dar causa à inexecução total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C3 - deixar de entregar a documentação exigida para o certame; </w:t>
      </w:r>
    </w:p>
    <w:p>
      <w:pPr>
        <w:pStyle w:val="Normal"/>
        <w:spacing w:lineRule="auto" w:line="240" w:before="0" w:after="0"/>
        <w:ind w:firstLine="424" w:left="284"/>
        <w:jc w:val="both"/>
        <w:rPr>
          <w:highlight w:val="none"/>
          <w:shd w:fill="auto" w:val="clear"/>
        </w:rPr>
      </w:pPr>
      <w:r>
        <w:rPr>
          <w:sz w:val="24"/>
          <w:szCs w:val="24"/>
          <w:shd w:fill="auto" w:val="clear"/>
        </w:rPr>
        <w:t xml:space="preserve">C4 - não manter a proposta, salvo em decorrência de fato superveniente devidamente justificado; </w:t>
      </w:r>
    </w:p>
    <w:p>
      <w:pPr>
        <w:pStyle w:val="Normal"/>
        <w:spacing w:lineRule="auto" w:line="240" w:before="0" w:after="0"/>
        <w:ind w:firstLine="424" w:left="284"/>
        <w:jc w:val="both"/>
        <w:rPr>
          <w:highlight w:val="none"/>
          <w:shd w:fill="auto" w:val="clear"/>
        </w:rPr>
      </w:pPr>
      <w:r>
        <w:rPr>
          <w:sz w:val="24"/>
          <w:szCs w:val="24"/>
          <w:shd w:fill="auto" w:val="clear"/>
        </w:rPr>
        <w:t xml:space="preserve">C5 - não celebrar o contrato ou não entregar a documentação exigida para a contratação, quando convocado dentro do prazo de validade de sua proposta; </w:t>
      </w:r>
    </w:p>
    <w:p>
      <w:pPr>
        <w:pStyle w:val="Normal"/>
        <w:spacing w:lineRule="auto" w:line="240" w:before="0" w:after="0"/>
        <w:ind w:firstLine="424" w:left="284"/>
        <w:jc w:val="both"/>
        <w:rPr>
          <w:highlight w:val="none"/>
          <w:shd w:fill="auto" w:val="clear"/>
        </w:rPr>
      </w:pPr>
      <w:r>
        <w:rPr>
          <w:sz w:val="24"/>
          <w:szCs w:val="24"/>
          <w:shd w:fill="auto" w:val="clear"/>
        </w:rPr>
        <w:t xml:space="preserve">C6 - ensejar o retardamento da execução ou da entrega do objeto da licitação sem motivo justificado. </w:t>
      </w:r>
    </w:p>
    <w:p>
      <w:pPr>
        <w:pStyle w:val="Normal"/>
        <w:spacing w:lineRule="auto" w:line="240" w:before="0" w:after="0"/>
        <w:ind w:left="284"/>
        <w:jc w:val="both"/>
        <w:rPr>
          <w:highlight w:val="none"/>
          <w:shd w:fill="auto" w:val="clear"/>
        </w:rPr>
      </w:pPr>
      <w:r>
        <w:rPr>
          <w:sz w:val="24"/>
          <w:szCs w:val="24"/>
          <w:shd w:fill="auto" w:val="clear"/>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D1 - apresentar declaração ou documentação falsa exigida para o certame ou prestar declaração falsa durante a licitação ou 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D2 -fraudar a licitação ou praticar ato fraudulento na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D3 -comportar-se de modo inidôneo ou cometer fraude de qualquer natureza; </w:t>
      </w:r>
    </w:p>
    <w:p>
      <w:pPr>
        <w:pStyle w:val="Normal"/>
        <w:spacing w:lineRule="auto" w:line="240" w:before="0" w:after="0"/>
        <w:ind w:firstLine="424" w:left="284"/>
        <w:jc w:val="both"/>
        <w:rPr>
          <w:highlight w:val="none"/>
          <w:shd w:fill="auto" w:val="clear"/>
        </w:rPr>
      </w:pPr>
      <w:r>
        <w:rPr>
          <w:sz w:val="24"/>
          <w:szCs w:val="24"/>
          <w:shd w:fill="auto" w:val="clear"/>
        </w:rPr>
        <w:t xml:space="preserve">D4 -praticar atos ilícitos com vistas a frustrar os objetivos da licitação; </w:t>
      </w:r>
    </w:p>
    <w:p>
      <w:pPr>
        <w:pStyle w:val="Normal"/>
        <w:spacing w:lineRule="auto" w:line="240" w:before="0" w:after="0"/>
        <w:ind w:firstLine="424" w:left="284"/>
        <w:jc w:val="both"/>
        <w:rPr>
          <w:highlight w:val="none"/>
          <w:shd w:fill="auto" w:val="clear"/>
        </w:rPr>
      </w:pPr>
      <w:r>
        <w:rPr>
          <w:sz w:val="24"/>
          <w:szCs w:val="24"/>
          <w:shd w:fill="auto" w:val="clear"/>
        </w:rPr>
        <w:t xml:space="preserve">D5 - praticar ato lesivo previsto no art. 5º da Lei Federal nº 12.846, de 1º de agosto de 2013. </w:t>
      </w:r>
    </w:p>
    <w:p>
      <w:pPr>
        <w:pStyle w:val="Normal"/>
        <w:spacing w:lineRule="auto" w:line="240" w:before="0" w:after="0"/>
        <w:ind w:left="284"/>
        <w:jc w:val="both"/>
        <w:rPr>
          <w:highlight w:val="none"/>
          <w:shd w:fill="auto" w:val="clear"/>
        </w:rPr>
      </w:pPr>
      <w:r>
        <w:rPr>
          <w:sz w:val="24"/>
          <w:szCs w:val="24"/>
          <w:shd w:fill="auto" w:val="clear"/>
        </w:rPr>
        <w:t xml:space="preserve">9.2. As sanções previstas nas letras A,C e D poderão ser aplicadas cumulativamente com a prevista na letra B. </w:t>
      </w:r>
    </w:p>
    <w:p>
      <w:pPr>
        <w:pStyle w:val="Normal"/>
        <w:spacing w:lineRule="auto" w:line="240" w:before="0" w:after="0"/>
        <w:ind w:left="284"/>
        <w:jc w:val="both"/>
        <w:rPr>
          <w:highlight w:val="none"/>
          <w:shd w:fill="auto" w:val="clear"/>
        </w:rPr>
      </w:pPr>
      <w:r>
        <w:rPr>
          <w:sz w:val="24"/>
          <w:szCs w:val="24"/>
          <w:shd w:fill="auto" w:val="clear"/>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jc w:val="both"/>
        <w:rPr>
          <w:highlight w:val="none"/>
          <w:shd w:fill="auto" w:val="clear"/>
        </w:rPr>
      </w:pPr>
      <w:r>
        <w:rPr>
          <w:sz w:val="24"/>
          <w:szCs w:val="24"/>
          <w:shd w:fill="auto" w:val="clear"/>
        </w:rPr>
        <w:t>9.4. O atraso injustificado na execução do contrato sujeitará o contratado a multa de mora.</w:t>
      </w:r>
    </w:p>
    <w:p>
      <w:pPr>
        <w:pStyle w:val="Normal"/>
        <w:spacing w:lineRule="auto" w:line="240" w:before="0" w:after="0"/>
        <w:ind w:left="284"/>
        <w:jc w:val="both"/>
        <w:rPr>
          <w:highlight w:val="none"/>
          <w:shd w:fill="auto" w:val="clear"/>
        </w:rPr>
      </w:pPr>
      <w:r>
        <w:rPr>
          <w:sz w:val="24"/>
          <w:szCs w:val="24"/>
          <w:shd w:fill="auto" w:val="clear"/>
        </w:rPr>
        <w:t xml:space="preserve"> </w:t>
      </w:r>
      <w:r>
        <w:rPr>
          <w:sz w:val="24"/>
          <w:szCs w:val="24"/>
          <w:shd w:fill="auto" w:val="clear"/>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10. DISPOSIÇÕES GERAIS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Autospacing="1" w:after="0"/>
        <w:ind w:left="215"/>
        <w:contextualSpacing/>
        <w:jc w:val="both"/>
        <w:rPr>
          <w:highlight w:val="none"/>
          <w:shd w:fill="auto" w:val="clear"/>
        </w:rPr>
      </w:pPr>
      <w:r>
        <w:rPr>
          <w:sz w:val="24"/>
          <w:szCs w:val="24"/>
          <w:shd w:fill="auto" w:val="clear"/>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contextualSpacing/>
        <w:jc w:val="both"/>
        <w:rPr>
          <w:highlight w:val="none"/>
          <w:shd w:fill="auto" w:val="clear"/>
        </w:rPr>
      </w:pPr>
      <w:r>
        <w:rPr>
          <w:sz w:val="24"/>
          <w:szCs w:val="24"/>
          <w:shd w:fill="auto" w:val="clear"/>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contextualSpacing/>
        <w:jc w:val="both"/>
        <w:rPr>
          <w:highlight w:val="none"/>
          <w:shd w:fill="auto" w:val="clear"/>
        </w:rPr>
      </w:pPr>
      <w:r>
        <w:rPr>
          <w:sz w:val="24"/>
          <w:szCs w:val="24"/>
          <w:shd w:fill="auto" w:val="clear"/>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Os prazos expressos em dias corridos serão computados de modo contínuo;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b) Os prazos expressos em meses ou anos serão computados de data a data;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10.8.1 Salvo disposição em contrário, considera-se dia do começo do prazo: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 primeiro dia útil seguinte ao da disponibilização da informação na internet.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right"/>
        <w:rPr>
          <w:highlight w:val="none"/>
          <w:shd w:fill="auto" w:val="clear"/>
        </w:rPr>
      </w:pPr>
      <w:r>
        <w:rPr>
          <w:sz w:val="24"/>
          <w:szCs w:val="24"/>
          <w:shd w:fill="auto" w:val="clear"/>
        </w:rPr>
        <w:t xml:space="preserve">São José dos Campos, </w:t>
      </w:r>
      <w:r>
        <w:rPr>
          <w:sz w:val="24"/>
          <w:szCs w:val="24"/>
          <w:shd w:fill="auto" w:val="clear"/>
        </w:rPr>
        <w:t>04 de agosto de 2025.</w:t>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Normal"/>
        <w:spacing w:lineRule="auto" w:line="240" w:before="0" w:after="0"/>
        <w:jc w:val="center"/>
        <w:rPr>
          <w:highlight w:val="none"/>
          <w:shd w:fill="auto" w:val="clear"/>
        </w:rPr>
      </w:pPr>
      <w:r>
        <w:rPr>
          <w:rFonts w:cs="Times New Roman"/>
          <w:b/>
          <w:sz w:val="20"/>
          <w:szCs w:val="20"/>
          <w:shd w:fill="auto" w:val="clear"/>
        </w:rPr>
        <w:t>ANEXO I – MODELO DE PROPOSTA</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À</w:t>
      </w:r>
    </w:p>
    <w:p>
      <w:pPr>
        <w:pStyle w:val="Normal"/>
        <w:spacing w:before="0" w:after="0"/>
        <w:rPr>
          <w:highlight w:val="none"/>
          <w:shd w:fill="auto" w:val="clear"/>
        </w:rPr>
      </w:pPr>
      <w:r>
        <w:rPr>
          <w:rFonts w:eastAsia="" w:cs="Times New Roman" w:eastAsiaTheme="minorEastAsia"/>
          <w:b/>
          <w:color w:val="000000"/>
          <w:sz w:val="20"/>
          <w:szCs w:val="20"/>
          <w:shd w:fill="auto" w:val="clear"/>
          <w:lang w:eastAsia="pt-BR"/>
        </w:rPr>
        <w:t>Prefeitura Municipal de São José dos Campos</w:t>
      </w:r>
    </w:p>
    <w:p>
      <w:pPr>
        <w:pStyle w:val="Normal"/>
        <w:spacing w:lineRule="auto" w:line="240" w:before="0" w:after="0"/>
        <w:rPr>
          <w:highlight w:val="none"/>
          <w:shd w:fill="auto" w:val="clear"/>
        </w:rPr>
      </w:pPr>
      <w:r>
        <w:rPr>
          <w:rFonts w:cs="Times New Roman"/>
          <w:shd w:fill="auto" w:val="clear"/>
        </w:rPr>
        <w:tab/>
        <w:tab/>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highlight w:val="none"/>
          <w:shd w:fill="auto" w:val="clear"/>
        </w:rPr>
      </w:pPr>
      <w:r>
        <w:rPr>
          <w:rFonts w:cs="Times New Roman"/>
          <w:b/>
          <w:color w:themeColor="text1" w:val="000000"/>
          <w:sz w:val="24"/>
          <w:szCs w:val="24"/>
          <w:shd w:fill="auto" w:val="clear"/>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6"/>
        <w:gridCol w:w="425"/>
        <w:gridCol w:w="286"/>
        <w:gridCol w:w="283"/>
        <w:gridCol w:w="424"/>
        <w:gridCol w:w="425"/>
        <w:gridCol w:w="1703"/>
        <w:gridCol w:w="707"/>
        <w:gridCol w:w="234"/>
        <w:gridCol w:w="476"/>
        <w:gridCol w:w="284"/>
        <w:gridCol w:w="423"/>
        <w:gridCol w:w="142"/>
        <w:gridCol w:w="852"/>
        <w:gridCol w:w="141"/>
        <w:gridCol w:w="2984"/>
      </w:tblGrid>
      <w:tr>
        <w:trPr>
          <w:trHeight w:val="283" w:hRule="atLeast"/>
        </w:trPr>
        <w:tc>
          <w:tcPr>
            <w:tcW w:w="1527"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81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816"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18"/>
                <w:szCs w:val="18"/>
                <w:shd w:fill="auto" w:val="clear"/>
                <w:lang w:val="pt-BR" w:eastAsia="en-US" w:bidi="ar-SA"/>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Depósito Bancário</w:t>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b/>
                <w:kern w:val="0"/>
                <w:sz w:val="20"/>
                <w:szCs w:val="20"/>
                <w:highlight w:val="none"/>
                <w:shd w:fill="auto" w:val="clear"/>
                <w:lang w:val="pt-BR" w:eastAsia="en-US" w:bidi="ar-SA"/>
              </w:rPr>
            </w:pPr>
            <w:r>
              <w:rPr>
                <w:rFonts w:eastAsia="Calibri" w:cs="Times New Roman"/>
                <w:b/>
                <w:kern w:val="0"/>
                <w:sz w:val="20"/>
                <w:szCs w:val="20"/>
                <w:shd w:fill="auto" w:val="clear"/>
                <w:lang w:val="pt-BR" w:eastAsia="en-US" w:bidi="ar-SA"/>
              </w:rPr>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18"/>
                <w:szCs w:val="18"/>
                <w:shd w:fill="auto" w:val="clear"/>
                <w:lang w:val="pt-BR" w:eastAsia="en-US" w:bidi="ar-SA"/>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30 (trinta) dias</w:t>
            </w:r>
          </w:p>
        </w:tc>
      </w:tr>
    </w:tbl>
    <w:p>
      <w:pPr>
        <w:pStyle w:val="Normal"/>
        <w:spacing w:lineRule="auto" w:line="240" w:before="0" w:after="0"/>
        <w:jc w:val="center"/>
        <w:rPr>
          <w:rFonts w:cs="Times New Roman"/>
          <w:b/>
          <w:sz w:val="4"/>
          <w:szCs w:val="4"/>
          <w:highlight w:val="none"/>
          <w:shd w:fill="auto" w:val="clear"/>
        </w:rPr>
      </w:pPr>
      <w:r>
        <w:rPr>
          <w:rFonts w:cs="Times New Roman"/>
          <w:b/>
          <w:sz w:val="4"/>
          <w:szCs w:val="4"/>
          <w:shd w:fill="auto" w:val="clear"/>
        </w:rPr>
      </w:r>
    </w:p>
    <w:p>
      <w:pPr>
        <w:pStyle w:val="Normal"/>
        <w:spacing w:lineRule="auto" w:line="240" w:before="0" w:after="0"/>
        <w:ind w:left="-142"/>
        <w:jc w:val="both"/>
        <w:rPr>
          <w:rFonts w:eastAsia="" w:cs="Times New Roman" w:eastAsiaTheme="minorEastAsia"/>
          <w:color w:val="000000"/>
          <w:sz w:val="12"/>
          <w:szCs w:val="12"/>
          <w:highlight w:val="none"/>
          <w:shd w:fill="auto" w:val="clear"/>
          <w:lang w:eastAsia="pt-BR"/>
        </w:rPr>
      </w:pPr>
      <w:r>
        <w:rPr>
          <w:rFonts w:eastAsia="" w:cs="Times New Roman" w:eastAsiaTheme="minorEastAsia"/>
          <w:color w:val="000000"/>
          <w:sz w:val="12"/>
          <w:szCs w:val="12"/>
          <w:shd w:fill="auto" w:val="clear"/>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66"/>
        <w:gridCol w:w="921"/>
        <w:gridCol w:w="4011"/>
        <w:gridCol w:w="651"/>
        <w:gridCol w:w="776"/>
        <w:gridCol w:w="1052"/>
        <w:gridCol w:w="1276"/>
        <w:gridCol w:w="1243"/>
      </w:tblGrid>
      <w:tr>
        <w:trPr>
          <w:trHeight w:val="330" w:hRule="atLeast"/>
        </w:trPr>
        <w:tc>
          <w:tcPr>
            <w:tcW w:w="666"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Calibri" w:cstheme="minorHAnsi"/>
                <w:kern w:val="0"/>
                <w:sz w:val="20"/>
                <w:szCs w:val="20"/>
                <w:shd w:fill="auto" w:val="clear"/>
                <w:lang w:val="pt-BR" w:eastAsia="pt-BR" w:bidi="ar-SA"/>
              </w:rPr>
              <w:t>Item</w:t>
            </w:r>
          </w:p>
        </w:tc>
        <w:tc>
          <w:tcPr>
            <w:tcW w:w="921"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Calibri" w:cstheme="minorHAnsi"/>
                <w:kern w:val="0"/>
                <w:sz w:val="20"/>
                <w:szCs w:val="20"/>
                <w:shd w:fill="auto" w:val="clear"/>
                <w:lang w:val="pt-BR" w:eastAsia="pt-BR" w:bidi="ar-SA"/>
              </w:rPr>
              <w:t>Código</w:t>
            </w:r>
          </w:p>
        </w:tc>
        <w:tc>
          <w:tcPr>
            <w:tcW w:w="4011"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Calibri" w:cstheme="minorHAnsi"/>
                <w:kern w:val="0"/>
                <w:sz w:val="20"/>
                <w:szCs w:val="20"/>
                <w:shd w:fill="auto" w:val="clear"/>
                <w:lang w:val="pt-BR" w:eastAsia="pt-BR" w:bidi="ar-SA"/>
              </w:rPr>
              <w:t>Descrição</w:t>
            </w:r>
          </w:p>
        </w:tc>
        <w:tc>
          <w:tcPr>
            <w:tcW w:w="651"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Calibri" w:cstheme="minorHAnsi"/>
                <w:kern w:val="0"/>
                <w:sz w:val="20"/>
                <w:szCs w:val="20"/>
                <w:shd w:fill="auto" w:val="clear"/>
                <w:lang w:val="pt-BR" w:eastAsia="pt-BR" w:bidi="ar-SA"/>
              </w:rPr>
              <w:t>Unid.</w:t>
            </w:r>
          </w:p>
        </w:tc>
        <w:tc>
          <w:tcPr>
            <w:tcW w:w="776"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Calibri" w:cstheme="minorHAnsi"/>
                <w:kern w:val="0"/>
                <w:sz w:val="20"/>
                <w:szCs w:val="20"/>
                <w:shd w:fill="auto" w:val="clear"/>
                <w:lang w:val="pt-BR" w:eastAsia="pt-BR" w:bidi="ar-SA"/>
              </w:rPr>
              <w:t>Quant.</w:t>
            </w:r>
          </w:p>
        </w:tc>
        <w:tc>
          <w:tcPr>
            <w:tcW w:w="1052"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Calibri" w:cstheme="minorHAnsi"/>
                <w:kern w:val="0"/>
                <w:sz w:val="20"/>
                <w:szCs w:val="20"/>
                <w:shd w:fill="auto" w:val="clear"/>
                <w:lang w:val="pt-BR" w:eastAsia="pt-BR" w:bidi="ar-SA"/>
              </w:rPr>
              <w:t>Valor Unitário</w:t>
            </w:r>
          </w:p>
        </w:tc>
        <w:tc>
          <w:tcPr>
            <w:tcW w:w="1276"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Calibri" w:cstheme="minorHAnsi"/>
                <w:kern w:val="0"/>
                <w:sz w:val="20"/>
                <w:szCs w:val="20"/>
                <w:shd w:fill="auto" w:val="clear"/>
                <w:lang w:val="pt-BR" w:eastAsia="pt-BR" w:bidi="ar-SA"/>
              </w:rPr>
              <w:t>Valor Total</w:t>
            </w:r>
          </w:p>
        </w:tc>
        <w:tc>
          <w:tcPr>
            <w:tcW w:w="1243"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Calibri" w:cstheme="minorHAnsi"/>
                <w:kern w:val="0"/>
                <w:sz w:val="20"/>
                <w:szCs w:val="20"/>
                <w:shd w:fill="auto" w:val="clear"/>
                <w:lang w:val="pt-BR" w:eastAsia="pt-BR" w:bidi="ar-SA"/>
              </w:rPr>
              <w:t>Marca/Obs.</w:t>
            </w:r>
          </w:p>
        </w:tc>
      </w:tr>
      <w:tr>
        <w:trPr>
          <w:trHeight w:val="1529" w:hRule="atLeast"/>
        </w:trPr>
        <w:tc>
          <w:tcPr>
            <w:tcW w:w="666" w:type="dxa"/>
            <w:tcBorders/>
            <w:vAlign w:val="center"/>
          </w:tcPr>
          <w:p>
            <w:pPr>
              <w:pStyle w:val="CabealhoeRodap"/>
              <w:widowControl/>
              <w:suppressAutoHyphens w:val="true"/>
              <w:spacing w:lineRule="auto" w:line="240" w:before="0" w:after="0"/>
              <w:jc w:val="center"/>
              <w:rPr>
                <w:rFonts w:ascii="Arial" w:hAnsi="Arial" w:eastAsia="Calibri" w:cs="Arial"/>
                <w:kern w:val="0"/>
                <w:sz w:val="18"/>
                <w:szCs w:val="18"/>
                <w:highlight w:val="none"/>
                <w:shd w:fill="auto" w:val="clear"/>
                <w:lang w:val="pt-BR" w:eastAsia="pt-BR" w:bidi="ar-SA"/>
              </w:rPr>
            </w:pPr>
            <w:r>
              <w:rPr>
                <w:rFonts w:eastAsia="Calibri" w:cs="Arial" w:ascii="Arial" w:hAnsi="Arial"/>
                <w:kern w:val="0"/>
                <w:sz w:val="18"/>
                <w:szCs w:val="18"/>
                <w:shd w:fill="auto" w:val="clear"/>
                <w:lang w:val="pt-BR" w:eastAsia="pt-BR" w:bidi="ar-SA"/>
              </w:rPr>
              <w:t>1</w:t>
            </w:r>
          </w:p>
        </w:tc>
        <w:tc>
          <w:tcPr>
            <w:tcW w:w="921" w:type="dxa"/>
            <w:tcBorders/>
            <w:vAlign w:val="center"/>
          </w:tcPr>
          <w:p>
            <w:pPr>
              <w:pStyle w:val="TableParagraph"/>
              <w:spacing w:before="0" w:after="0"/>
              <w:jc w:val="center"/>
              <w:rPr>
                <w:rFonts w:ascii="Arial" w:hAnsi="Arial" w:cs="Arial"/>
                <w:color w:themeColor="text1" w:val="000000"/>
                <w:kern w:val="0"/>
                <w:sz w:val="18"/>
                <w:szCs w:val="18"/>
                <w:highlight w:val="none"/>
                <w:shd w:fill="auto" w:val="clear"/>
                <w:lang w:eastAsia="en-US" w:bidi="ar-SA"/>
              </w:rPr>
            </w:pPr>
            <w:r>
              <w:rPr>
                <w:rFonts w:cs="Arial" w:ascii="Arial" w:hAnsi="Arial"/>
                <w:color w:themeColor="text1" w:val="000000"/>
                <w:kern w:val="0"/>
                <w:sz w:val="18"/>
                <w:szCs w:val="18"/>
                <w:shd w:fill="auto" w:val="clear"/>
                <w:lang w:eastAsia="en-US" w:bidi="ar-SA"/>
              </w:rPr>
              <w:t>79073</w:t>
            </w:r>
          </w:p>
        </w:tc>
        <w:tc>
          <w:tcPr>
            <w:tcW w:w="4011" w:type="dxa"/>
            <w:tcBorders/>
            <w:vAlign w:val="center"/>
          </w:tcPr>
          <w:p>
            <w:pPr>
              <w:pStyle w:val="TableParagraph"/>
              <w:spacing w:before="0" w:after="0"/>
              <w:jc w:val="both"/>
              <w:rPr>
                <w:rFonts w:ascii="Arial" w:hAnsi="Arial" w:cs="Arial"/>
                <w:color w:themeColor="text1" w:val="000000"/>
                <w:kern w:val="0"/>
                <w:sz w:val="18"/>
                <w:szCs w:val="18"/>
                <w:highlight w:val="none"/>
                <w:shd w:fill="auto" w:val="clear"/>
                <w:lang w:eastAsia="en-US" w:bidi="ar-SA"/>
              </w:rPr>
            </w:pPr>
            <w:r>
              <w:rPr>
                <w:rFonts w:cs="Arial" w:ascii="Arial" w:hAnsi="Arial"/>
                <w:color w:themeColor="text1" w:val="000000"/>
                <w:kern w:val="0"/>
                <w:sz w:val="18"/>
                <w:szCs w:val="18"/>
                <w:shd w:fill="auto" w:val="clear"/>
                <w:lang w:eastAsia="en-US" w:bidi="ar-SA"/>
              </w:rPr>
              <w:t>TAMPÃO DE FERRO FUNDIDO COM ARO ARTICULADO COM ANEL DE POLIETILENO PARA APOIO DA TAMPA SOBRE O ANEL, MED. TAMPA 600MM DIAM., DIAM. TOTAL 850MM, ALTURA 100MM E CAPACIDADE DE CARGA 30.000 KG</w:t>
            </w:r>
          </w:p>
        </w:tc>
        <w:tc>
          <w:tcPr>
            <w:tcW w:w="651" w:type="dxa"/>
            <w:tcBorders/>
            <w:vAlign w:val="center"/>
          </w:tcPr>
          <w:p>
            <w:pPr>
              <w:pStyle w:val="TableParagraph"/>
              <w:spacing w:before="0" w:after="0"/>
              <w:jc w:val="center"/>
              <w:rPr>
                <w:rFonts w:ascii="Arial" w:hAnsi="Arial" w:cs="Arial"/>
                <w:color w:themeColor="text1" w:val="000000"/>
                <w:kern w:val="0"/>
                <w:sz w:val="18"/>
                <w:szCs w:val="18"/>
                <w:highlight w:val="none"/>
                <w:shd w:fill="auto" w:val="clear"/>
                <w:lang w:eastAsia="en-US" w:bidi="ar-SA"/>
              </w:rPr>
            </w:pPr>
            <w:r>
              <w:rPr>
                <w:rFonts w:cs="Arial" w:ascii="Arial" w:hAnsi="Arial"/>
                <w:color w:themeColor="text1" w:val="000000"/>
                <w:kern w:val="0"/>
                <w:sz w:val="18"/>
                <w:szCs w:val="18"/>
                <w:shd w:fill="auto" w:val="clear"/>
                <w:lang w:eastAsia="en-US" w:bidi="ar-SA"/>
              </w:rPr>
              <w:t>PC</w:t>
            </w:r>
          </w:p>
        </w:tc>
        <w:tc>
          <w:tcPr>
            <w:tcW w:w="776" w:type="dxa"/>
            <w:tcBorders/>
            <w:vAlign w:val="center"/>
          </w:tcPr>
          <w:p>
            <w:pPr>
              <w:pStyle w:val="TableParagraph"/>
              <w:spacing w:before="0" w:after="0"/>
              <w:jc w:val="center"/>
              <w:rPr>
                <w:rFonts w:ascii="Arial" w:hAnsi="Arial" w:cs="Arial"/>
                <w:color w:themeColor="text1" w:val="000000"/>
                <w:kern w:val="0"/>
                <w:sz w:val="18"/>
                <w:szCs w:val="18"/>
                <w:highlight w:val="none"/>
                <w:shd w:fill="auto" w:val="clear"/>
                <w:lang w:eastAsia="en-US" w:bidi="ar-SA"/>
              </w:rPr>
            </w:pPr>
            <w:r>
              <w:rPr>
                <w:rFonts w:cs="Arial" w:ascii="Arial" w:hAnsi="Arial"/>
                <w:color w:themeColor="text1" w:val="000000"/>
                <w:kern w:val="0"/>
                <w:sz w:val="18"/>
                <w:szCs w:val="18"/>
                <w:shd w:fill="auto" w:val="clear"/>
                <w:lang w:eastAsia="en-US" w:bidi="ar-SA"/>
              </w:rPr>
              <w:t>100</w:t>
            </w:r>
          </w:p>
        </w:tc>
        <w:tc>
          <w:tcPr>
            <w:tcW w:w="1052" w:type="dxa"/>
            <w:tcBorders/>
            <w:vAlign w:val="center"/>
          </w:tcPr>
          <w:p>
            <w:pPr>
              <w:pStyle w:val="Normal"/>
              <w:widowControl/>
              <w:suppressAutoHyphens w:val="true"/>
              <w:spacing w:lineRule="auto" w:line="240" w:before="0" w:after="0"/>
              <w:jc w:val="left"/>
              <w:rPr>
                <w:rFonts w:ascii="Arial" w:hAnsi="Arial" w:eastAsia="Calibri" w:cs="Arial"/>
                <w:kern w:val="0"/>
                <w:sz w:val="18"/>
                <w:szCs w:val="18"/>
                <w:highlight w:val="none"/>
                <w:shd w:fill="auto" w:val="clear"/>
                <w:lang w:val="pt-BR" w:eastAsia="pt-BR" w:bidi="ar-SA"/>
              </w:rPr>
            </w:pPr>
            <w:r>
              <w:rPr>
                <w:rFonts w:eastAsia="Calibri" w:cs="Arial" w:ascii="Arial" w:hAnsi="Arial"/>
                <w:kern w:val="0"/>
                <w:sz w:val="18"/>
                <w:szCs w:val="18"/>
                <w:shd w:fill="auto" w:val="clear"/>
                <w:lang w:val="pt-BR" w:eastAsia="pt-BR" w:bidi="ar-SA"/>
              </w:rPr>
              <w:t>R$</w:t>
            </w:r>
          </w:p>
        </w:tc>
        <w:tc>
          <w:tcPr>
            <w:tcW w:w="1276" w:type="dxa"/>
            <w:tcBorders/>
            <w:vAlign w:val="center"/>
          </w:tcPr>
          <w:p>
            <w:pPr>
              <w:pStyle w:val="Normal"/>
              <w:widowControl/>
              <w:suppressAutoHyphens w:val="true"/>
              <w:spacing w:lineRule="auto" w:line="240" w:before="0" w:after="0"/>
              <w:jc w:val="left"/>
              <w:rPr>
                <w:rFonts w:ascii="Arial" w:hAnsi="Arial" w:eastAsia="Calibri" w:cs="Arial"/>
                <w:kern w:val="0"/>
                <w:sz w:val="18"/>
                <w:szCs w:val="18"/>
                <w:highlight w:val="none"/>
                <w:shd w:fill="auto" w:val="clear"/>
                <w:lang w:val="pt-BR" w:eastAsia="pt-BR" w:bidi="ar-SA"/>
              </w:rPr>
            </w:pPr>
            <w:r>
              <w:rPr>
                <w:rFonts w:eastAsia="Calibri" w:cs="Arial" w:ascii="Arial" w:hAnsi="Arial"/>
                <w:kern w:val="0"/>
                <w:sz w:val="18"/>
                <w:szCs w:val="18"/>
                <w:shd w:fill="auto" w:val="clear"/>
                <w:lang w:val="pt-BR" w:eastAsia="pt-BR" w:bidi="ar-SA"/>
              </w:rPr>
              <w:t>R$</w:t>
            </w:r>
          </w:p>
        </w:tc>
        <w:tc>
          <w:tcPr>
            <w:tcW w:w="1243" w:type="dxa"/>
            <w:tcBorders/>
            <w:vAlign w:val="center"/>
          </w:tcPr>
          <w:p>
            <w:pPr>
              <w:pStyle w:val="Normal"/>
              <w:widowControl/>
              <w:suppressAutoHyphens w:val="true"/>
              <w:spacing w:lineRule="auto" w:line="240" w:before="0" w:after="0"/>
              <w:jc w:val="center"/>
              <w:rPr>
                <w:rFonts w:ascii="Arial" w:hAnsi="Arial" w:eastAsia="Calibri" w:cs="Arial"/>
                <w:kern w:val="0"/>
                <w:sz w:val="18"/>
                <w:szCs w:val="18"/>
                <w:highlight w:val="none"/>
                <w:shd w:fill="auto" w:val="clear"/>
                <w:lang w:val="pt-BR" w:eastAsia="pt-BR" w:bidi="ar-SA"/>
              </w:rPr>
            </w:pPr>
            <w:r>
              <w:rPr>
                <w:rFonts w:eastAsia="Calibri" w:cs="Arial" w:ascii="Arial" w:hAnsi="Arial"/>
                <w:kern w:val="0"/>
                <w:sz w:val="18"/>
                <w:szCs w:val="18"/>
                <w:shd w:fill="auto" w:val="clear"/>
                <w:lang w:val="pt-BR" w:eastAsia="pt-BR" w:bidi="ar-SA"/>
              </w:rPr>
            </w:r>
          </w:p>
        </w:tc>
      </w:tr>
    </w:tbl>
    <w:p>
      <w:pPr>
        <w:pStyle w:val="Normal"/>
        <w:spacing w:lineRule="auto" w:line="240" w:before="0" w:after="0"/>
        <w:ind w:left="-142"/>
        <w:jc w:val="both"/>
        <w:rPr>
          <w:rFonts w:eastAsia="" w:cs="Calibri" w:cstheme="minorHAnsi" w:eastAsiaTheme="minorEastAsia"/>
          <w:color w:val="000000"/>
          <w:sz w:val="12"/>
          <w:szCs w:val="12"/>
          <w:highlight w:val="none"/>
          <w:shd w:fill="auto" w:val="clear"/>
          <w:lang w:eastAsia="pt-BR"/>
        </w:rPr>
      </w:pPr>
      <w:r>
        <w:rPr>
          <w:rFonts w:eastAsia="" w:cs="Calibri" w:cstheme="minorHAnsi" w:eastAsiaTheme="minorEastAsia"/>
          <w:color w:val="000000"/>
          <w:sz w:val="12"/>
          <w:szCs w:val="12"/>
          <w:shd w:fill="auto" w:val="clear"/>
          <w:lang w:eastAsia="pt-BR"/>
        </w:rPr>
      </w:r>
    </w:p>
    <w:p>
      <w:pPr>
        <w:pStyle w:val="Normal"/>
        <w:overflowPunct w:val="true"/>
        <w:ind w:right="-142"/>
        <w:jc w:val="both"/>
        <w:textAlignment w:val="baseline"/>
        <w:rPr>
          <w:rFonts w:ascii="Bookman Old Style" w:hAnsi="Bookman Old Style" w:eastAsia="Times New Roman"/>
          <w:b/>
          <w:bCs/>
          <w:color w:val="000000"/>
          <w:sz w:val="20"/>
          <w:szCs w:val="20"/>
          <w:highlight w:val="none"/>
          <w:shd w:fill="auto" w:val="clear"/>
        </w:rPr>
      </w:pPr>
      <w:r>
        <w:rPr>
          <w:rFonts w:eastAsia="Times New Roman" w:ascii="Bookman Old Style" w:hAnsi="Bookman Old Style"/>
          <w:b/>
          <w:bCs/>
          <w:color w:val="000000"/>
          <w:sz w:val="20"/>
          <w:szCs w:val="20"/>
          <w:shd w:fill="auto" w:val="clear"/>
        </w:rPr>
      </w:r>
    </w:p>
    <w:p>
      <w:pPr>
        <w:pStyle w:val="Normal"/>
        <w:overflowPunct w:val="tru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que examinei, conheço e me submeto a todas as condições expressas na </w:t>
      </w:r>
      <w:r>
        <w:rPr>
          <w:rFonts w:eastAsia="Times New Roman" w:ascii="Bookman Old Style" w:hAnsi="Bookman Old Style"/>
          <w:sz w:val="20"/>
          <w:szCs w:val="20"/>
          <w:shd w:fill="auto" w:val="clear"/>
        </w:rPr>
        <w:t>presente contratação direta, bem como verifiquei todas as especificações contidas,</w:t>
      </w:r>
      <w:r>
        <w:rPr>
          <w:rFonts w:eastAsia="Times New Roman" w:ascii="Bookman Old Style" w:hAnsi="Bookman Old Style"/>
          <w:color w:val="000000"/>
          <w:sz w:val="20"/>
          <w:szCs w:val="20"/>
          <w:shd w:fill="auto" w:val="clear"/>
        </w:rPr>
        <w:t xml:space="preserve"> não havendo quaisquer discrepâncias nas informações, nas condições de fornecimento e documentos que dele fazem parte. </w:t>
      </w:r>
    </w:p>
    <w:p>
      <w:pPr>
        <w:pStyle w:val="Normal"/>
        <w:overflowPunct w:val="true"/>
        <w:ind w:right="-142"/>
        <w:jc w:val="both"/>
        <w:textAlignment w:val="baseline"/>
        <w:rPr>
          <w:highlight w:val="none"/>
          <w:shd w:fill="auto" w:val="clear"/>
        </w:rPr>
      </w:pPr>
      <w:r>
        <w:rPr>
          <w:rFonts w:eastAsia="Helvetica" w:ascii="Bookman Old Style" w:hAnsi="Bookman Old Style"/>
          <w:b/>
          <w:bCs/>
          <w:sz w:val="20"/>
          <w:szCs w:val="20"/>
          <w:shd w:fill="auto" w:val="clear"/>
        </w:rPr>
        <w:t>Declaro</w:t>
      </w:r>
      <w:r>
        <w:rPr>
          <w:rFonts w:eastAsia="Helvetica" w:ascii="Bookman Old Style" w:hAnsi="Bookman Old Style"/>
          <w:sz w:val="20"/>
          <w:szCs w:val="20"/>
          <w:shd w:fill="auto" w:val="clear"/>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overflowPunct w:val="tru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16"/>
          <w:szCs w:val="16"/>
          <w:highlight w:val="none"/>
          <w:shd w:fill="auto" w:val="clear"/>
        </w:rPr>
      </w:pPr>
      <w:r>
        <w:rPr>
          <w:rFonts w:cs="Times New Roman"/>
          <w:sz w:val="16"/>
          <w:szCs w:val="16"/>
          <w:shd w:fill="auto" w:val="clear"/>
        </w:rPr>
      </w:r>
    </w:p>
    <w:p>
      <w:pPr>
        <w:pStyle w:val="Normal"/>
        <w:spacing w:lineRule="auto" w:line="240" w:before="0" w:after="0"/>
        <w:rPr>
          <w:highlight w:val="none"/>
          <w:shd w:fill="auto" w:val="clear"/>
        </w:rPr>
      </w:pPr>
      <w:r>
        <mc:AlternateContent>
          <mc:Choice Requires="wps">
            <w:drawing>
              <wp:anchor behindDoc="0" distT="0" distB="10160" distL="0" distR="21590" simplePos="0" locked="0" layoutInCell="1" allowOverlap="1" relativeHeight="1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308.9pt;margin-top:3.15pt;width:227.75pt;height:96.65pt;mso-wrap-style:square;v-text-anchor:top" wp14:anchorId="48A17FAE">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r>
        <w:rPr>
          <w:rFonts w:cs="Times New Roman"/>
          <w:sz w:val="16"/>
          <w:szCs w:val="16"/>
          <w:shd w:fill="auto" w:val="clear"/>
        </w:rPr>
        <w:t>DATA:            /              /</w:t>
      </w:r>
    </w:p>
    <w:p>
      <w:pPr>
        <w:pStyle w:val="Normal"/>
        <w:spacing w:lineRule="auto" w:line="240" w:before="0" w:after="0"/>
        <w:rPr>
          <w:rFonts w:cs="Times New Roman"/>
          <w:sz w:val="16"/>
          <w:szCs w:val="16"/>
          <w:highlight w:val="none"/>
          <w:shd w:fill="auto" w:val="clear"/>
        </w:rPr>
      </w:pPr>
      <w:r>
        <w:rPr>
          <w:rFonts w:cs="Times New Roman"/>
          <w:sz w:val="16"/>
          <w:szCs w:val="16"/>
          <w:shd w:fill="auto" w:val="clear"/>
        </w:rPr>
      </w:r>
    </w:p>
    <w:p>
      <w:pPr>
        <w:pStyle w:val="Normal"/>
        <w:spacing w:lineRule="auto" w:line="240" w:before="0" w:after="0"/>
        <w:rPr>
          <w:highlight w:val="none"/>
          <w:shd w:fill="auto" w:val="clear"/>
        </w:rPr>
      </w:pPr>
      <w:r>
        <w:rPr>
          <w:rFonts w:cs="Times New Roman"/>
          <w:sz w:val="16"/>
          <w:szCs w:val="16"/>
          <w:shd w:fill="auto" w:val="clear"/>
        </w:rPr>
        <w:t>_______________________________________________</w:t>
      </w:r>
    </w:p>
    <w:p>
      <w:pPr>
        <w:pStyle w:val="Normal"/>
        <w:spacing w:lineRule="auto" w:line="240" w:before="0" w:after="0"/>
        <w:rPr>
          <w:highlight w:val="none"/>
          <w:shd w:fill="auto" w:val="clear"/>
        </w:rPr>
      </w:pPr>
      <w:r>
        <w:rPr>
          <w:rFonts w:cs="Times New Roman"/>
          <w:sz w:val="16"/>
          <w:szCs w:val="16"/>
          <w:shd w:fill="auto" w:val="clear"/>
        </w:rPr>
        <w:t>Assinatura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rFonts w:cs="Times New Roman"/>
          <w:b/>
          <w:color w:val="FF0000"/>
          <w:sz w:val="20"/>
          <w:szCs w:val="20"/>
          <w:highlight w:val="none"/>
          <w:shd w:fill="auto" w:val="clear"/>
        </w:rPr>
      </w:pPr>
      <w:r>
        <w:rPr>
          <w:rFonts w:cs="Times New Roman"/>
          <w:b/>
          <w:color w:val="FF0000"/>
          <w:sz w:val="20"/>
          <w:szCs w:val="20"/>
          <w:shd w:fill="auto" w:val="clear"/>
        </w:rPr>
      </w:r>
    </w:p>
    <w:p>
      <w:pPr>
        <w:pStyle w:val="Normal"/>
        <w:spacing w:lineRule="auto" w:line="240" w:before="0" w:after="0"/>
        <w:jc w:val="center"/>
        <w:rPr>
          <w:highlight w:val="none"/>
          <w:shd w:fill="auto" w:val="clear"/>
        </w:rPr>
      </w:pPr>
      <w:r>
        <w:rPr>
          <w:rFonts w:cs="Times New Roman"/>
          <w:b/>
          <w:color w:val="FF0000"/>
          <w:sz w:val="20"/>
          <w:szCs w:val="20"/>
          <w:shd w:fill="auto" w:val="clear"/>
        </w:rPr>
        <w:t>(SOMENTE PARA A EMPRESA VENCEDORA)</w:t>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Normal"/>
        <w:spacing w:lineRule="auto" w:line="240" w:before="0" w:after="0"/>
        <w:jc w:val="center"/>
        <w:rPr>
          <w:highlight w:val="none"/>
          <w:shd w:fill="auto" w:val="clear"/>
        </w:rPr>
      </w:pPr>
      <w:r>
        <w:rPr>
          <w:rFonts w:cs="Times New Roman"/>
          <w:b/>
          <w:sz w:val="20"/>
          <w:szCs w:val="20"/>
          <w:shd w:fill="auto" w:val="clear"/>
        </w:rPr>
        <w:t>ANEXO III – DOCUMENTOS DE REGULARIDADE</w:t>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ListParagraph"/>
        <w:numPr>
          <w:ilvl w:val="0"/>
          <w:numId w:val="3"/>
        </w:numPr>
        <w:jc w:val="both"/>
        <w:rPr>
          <w:highlight w:val="none"/>
          <w:shd w:fill="auto" w:val="clear"/>
        </w:rPr>
      </w:pPr>
      <w:r>
        <w:rPr>
          <w:sz w:val="24"/>
          <w:szCs w:val="24"/>
          <w:shd w:fill="auto" w:val="clear"/>
        </w:rPr>
        <w:t>Para fins de comprovação de regularidade serão exigidos os seguintes documentos:</w:t>
      </w:r>
    </w:p>
    <w:p>
      <w:pPr>
        <w:pStyle w:val="Normal"/>
        <w:jc w:val="both"/>
        <w:rPr>
          <w:highlight w:val="none"/>
          <w:shd w:fill="auto" w:val="clear"/>
        </w:rPr>
      </w:pPr>
      <w:r>
        <w:rPr>
          <w:sz w:val="24"/>
          <w:szCs w:val="24"/>
          <w:shd w:fill="auto" w:val="clear"/>
        </w:rPr>
        <w:t xml:space="preserve">I - </w:t>
      </w:r>
      <w:r>
        <w:rPr>
          <w:rFonts w:eastAsia="Times New Roman"/>
          <w:color w:val="222222"/>
          <w:sz w:val="24"/>
          <w:szCs w:val="24"/>
          <w:shd w:fill="auto" w:val="clear"/>
          <w:lang w:eastAsia="pt-BR"/>
        </w:rPr>
        <w:t>Comprovante de Inscrição e Situação Cadastral no Cadastro Nacional de Pessoa Jurídica do Ministério da Fazenda (CNPJ/MF);</w:t>
      </w:r>
      <w:r>
        <w:rPr>
          <w:sz w:val="24"/>
          <w:szCs w:val="24"/>
          <w:shd w:fill="auto" w:val="clear"/>
        </w:rPr>
        <w:t xml:space="preserve"> </w:t>
      </w:r>
    </w:p>
    <w:p>
      <w:pPr>
        <w:pStyle w:val="Normal"/>
        <w:jc w:val="both"/>
        <w:rPr>
          <w:highlight w:val="none"/>
          <w:shd w:fill="auto" w:val="clear"/>
        </w:rPr>
      </w:pPr>
      <w:r>
        <w:rPr>
          <w:sz w:val="24"/>
          <w:szCs w:val="24"/>
          <w:shd w:fill="auto" w:val="clear"/>
        </w:rPr>
        <w:t xml:space="preserve">II - </w:t>
      </w:r>
      <w:r>
        <w:rPr>
          <w:rFonts w:eastAsia="Times New Roman"/>
          <w:color w:val="222222"/>
          <w:sz w:val="24"/>
          <w:szCs w:val="24"/>
          <w:shd w:fill="auto" w:val="clear"/>
          <w:lang w:eastAsia="pt-BR"/>
        </w:rPr>
        <w:t>Comprovante de Inscrição no Cadastro de Contribuinte estadual ou municipal, se houver, relativo ao domicílio ou sede da licitante, pertinente ao seu ramo de atividade e compatível com o objeto da presente Cotação;</w:t>
      </w:r>
    </w:p>
    <w:p>
      <w:pPr>
        <w:pStyle w:val="Normal"/>
        <w:jc w:val="both"/>
        <w:rPr>
          <w:highlight w:val="none"/>
          <w:shd w:fill="auto" w:val="clear"/>
        </w:rPr>
      </w:pPr>
      <w:r>
        <w:rPr>
          <w:rFonts w:eastAsia="Times New Roman" w:cs="Calibri" w:cstheme="minorHAnsi"/>
          <w:color w:val="222222"/>
          <w:sz w:val="24"/>
          <w:szCs w:val="24"/>
          <w:shd w:fill="auto" w:val="clear"/>
          <w:lang w:eastAsia="pt-BR"/>
        </w:rPr>
        <w:t xml:space="preserve">III – Comprovante de </w:t>
      </w:r>
      <w:r>
        <w:rPr>
          <w:rFonts w:eastAsia="Calibri" w:cs="Arial"/>
          <w:sz w:val="24"/>
          <w:szCs w:val="24"/>
          <w:shd w:fill="auto" w:val="clear"/>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pPr>
        <w:pStyle w:val="Normal"/>
        <w:jc w:val="both"/>
        <w:rPr>
          <w:highlight w:val="none"/>
          <w:shd w:fill="auto" w:val="clear"/>
        </w:rPr>
      </w:pPr>
      <w:r>
        <w:rPr>
          <w:sz w:val="24"/>
          <w:szCs w:val="24"/>
          <w:shd w:fill="auto" w:val="clear"/>
        </w:rPr>
        <w:t xml:space="preserve">IV - </w:t>
      </w:r>
      <w:r>
        <w:rPr>
          <w:rFonts w:eastAsia="Times New Roman"/>
          <w:sz w:val="24"/>
          <w:szCs w:val="24"/>
          <w:shd w:fill="auto" w:val="clear"/>
          <w:lang w:eastAsia="pt-BR"/>
        </w:rPr>
        <w:t>Certidão Conjunta Negativa de Débitos ou Positiva com efeito de Negativa, relativa a Tributos Federais</w:t>
      </w:r>
      <w:r>
        <w:rPr>
          <w:rFonts w:eastAsia="Times New Roman"/>
          <w:bCs/>
          <w:sz w:val="24"/>
          <w:szCs w:val="24"/>
          <w:shd w:fill="auto" w:val="clear"/>
          <w:lang w:eastAsia="pt-BR"/>
        </w:rPr>
        <w:t> </w:t>
      </w:r>
      <w:r>
        <w:rPr>
          <w:rFonts w:eastAsia="Times New Roman"/>
          <w:sz w:val="24"/>
          <w:szCs w:val="24"/>
          <w:shd w:fill="auto" w:val="clear"/>
          <w:lang w:eastAsia="pt-BR"/>
        </w:rPr>
        <w:t>(inclusive as contribuições sociais) e à Dívida Ativa da União</w:t>
      </w:r>
      <w:r>
        <w:rPr>
          <w:sz w:val="24"/>
          <w:szCs w:val="24"/>
          <w:shd w:fill="auto" w:val="clear"/>
        </w:rPr>
        <w:t>;</w:t>
      </w:r>
    </w:p>
    <w:p>
      <w:pPr>
        <w:pStyle w:val="Normal"/>
        <w:jc w:val="both"/>
        <w:rPr>
          <w:highlight w:val="none"/>
          <w:shd w:fill="auto" w:val="clear"/>
        </w:rPr>
      </w:pPr>
      <w:r>
        <w:rPr>
          <w:sz w:val="24"/>
          <w:szCs w:val="24"/>
          <w:shd w:fill="auto" w:val="clear"/>
        </w:rPr>
        <w:t xml:space="preserve">V - </w:t>
      </w:r>
      <w:r>
        <w:rPr>
          <w:rFonts w:eastAsia="Times New Roman"/>
          <w:color w:val="222222"/>
          <w:sz w:val="24"/>
          <w:szCs w:val="24"/>
          <w:shd w:fill="auto" w:val="clear"/>
          <w:lang w:eastAsia="pt-BR"/>
        </w:rPr>
        <w:t>Certidão relativa à regularidade perante o Fundo de Garantia por Tempo de Serviço (FGTS), expedido pela Caixa Econômica Federal – CEF</w:t>
      </w:r>
      <w:r>
        <w:rPr>
          <w:sz w:val="24"/>
          <w:szCs w:val="24"/>
          <w:shd w:fill="auto" w:val="clear"/>
        </w:rPr>
        <w:t>;</w:t>
      </w:r>
    </w:p>
    <w:p>
      <w:pPr>
        <w:pStyle w:val="Normal"/>
        <w:jc w:val="both"/>
        <w:rPr>
          <w:highlight w:val="none"/>
          <w:shd w:fill="auto" w:val="clear"/>
        </w:rPr>
      </w:pPr>
      <w:r>
        <w:rPr>
          <w:sz w:val="24"/>
          <w:szCs w:val="24"/>
          <w:shd w:fill="auto" w:val="clear"/>
        </w:rPr>
        <w:t xml:space="preserve">VI - </w:t>
      </w:r>
      <w:r>
        <w:rPr>
          <w:rFonts w:eastAsia="Times New Roman"/>
          <w:color w:val="222222"/>
          <w:sz w:val="24"/>
          <w:szCs w:val="24"/>
          <w:shd w:fill="auto" w:val="clear"/>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fill="auto" w:val="clear"/>
        </w:rPr>
        <w:t>.</w:t>
      </w:r>
    </w:p>
    <w:p>
      <w:pPr>
        <w:pStyle w:val="Normal"/>
        <w:jc w:val="both"/>
        <w:rPr>
          <w:highlight w:val="none"/>
          <w:shd w:fill="auto" w:val="clear"/>
        </w:rPr>
      </w:pPr>
      <w:r>
        <w:rPr>
          <w:sz w:val="24"/>
          <w:szCs w:val="24"/>
          <w:shd w:fill="auto" w:val="clear"/>
        </w:rPr>
        <w:t>VII – O cumprimento do disposto no inciso XXXIII do art. 7º da Constituição Federal.</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highlight w:val="none"/>
          <w:shd w:fill="auto" w:val="clear"/>
        </w:rPr>
      </w:pPr>
      <w:r>
        <w:rPr>
          <w:rFonts w:cs="Calibri" w:cstheme="minorHAnsi"/>
          <w:b/>
          <w:sz w:val="24"/>
          <w:szCs w:val="24"/>
          <w:shd w:fill="auto" w:val="clear"/>
        </w:rPr>
        <w:t>ANEXO IV</w:t>
      </w:r>
    </w:p>
    <w:p>
      <w:pPr>
        <w:pStyle w:val="Normal"/>
        <w:spacing w:lineRule="auto" w:line="240" w:before="0" w:after="0"/>
        <w:rPr>
          <w:highlight w:val="none"/>
          <w:shd w:fill="auto" w:val="clear"/>
        </w:rPr>
      </w:pPr>
      <w:r>
        <w:rPr>
          <w:rFonts w:cs="Calibri" w:cstheme="minorHAnsi"/>
          <w:sz w:val="24"/>
          <w:szCs w:val="24"/>
          <w:shd w:fill="auto" w:val="clear"/>
        </w:rPr>
        <w:t>À</w:t>
      </w:r>
    </w:p>
    <w:p>
      <w:pPr>
        <w:pStyle w:val="Normal"/>
        <w:spacing w:lineRule="auto" w:line="240" w:before="0" w:after="0"/>
        <w:rPr>
          <w:highlight w:val="none"/>
          <w:shd w:fill="auto" w:val="clear"/>
        </w:rPr>
      </w:pPr>
      <w:r>
        <w:rPr>
          <w:rFonts w:cs="Calibri" w:cstheme="minorHAnsi"/>
          <w:sz w:val="24"/>
          <w:szCs w:val="24"/>
          <w:shd w:fill="auto" w:val="clear"/>
        </w:rPr>
        <w:t>PREFEITURA DE SÃO JOSÉ DOS CAMPOS</w:t>
      </w:r>
    </w:p>
    <w:p>
      <w:pPr>
        <w:pStyle w:val="Normal"/>
        <w:spacing w:lineRule="auto" w:line="240" w:before="0" w:after="0"/>
        <w:jc w:val="center"/>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rPr>
          <w:highlight w:val="none"/>
          <w:shd w:fill="auto" w:val="clear"/>
        </w:rPr>
      </w:pPr>
      <w:r>
        <w:rPr>
          <w:rFonts w:cs="Calibri" w:cstheme="minorHAnsi"/>
          <w:b/>
          <w:sz w:val="24"/>
          <w:szCs w:val="24"/>
          <w:shd w:fill="auto" w:val="clear"/>
        </w:rPr>
        <w:t xml:space="preserve">REF.: Dispensa Nº </w:t>
      </w:r>
      <w:r>
        <w:rPr>
          <w:rFonts w:cs="Calibri" w:cstheme="minorHAnsi"/>
          <w:b/>
          <w:sz w:val="24"/>
          <w:szCs w:val="24"/>
          <w:shd w:fill="auto" w:val="clear"/>
        </w:rPr>
        <w:t>1966/2025</w:t>
      </w:r>
    </w:p>
    <w:p>
      <w:pPr>
        <w:pStyle w:val="Normal"/>
        <w:spacing w:lineRule="auto" w:line="240" w:before="0" w:after="0"/>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 xml:space="preserve">OBJETO: </w:t>
      </w:r>
      <w:r>
        <w:rPr>
          <w:rFonts w:cs="Calibri" w:cstheme="minorHAnsi"/>
          <w:b w:val="false"/>
          <w:bCs w:val="false"/>
          <w:sz w:val="24"/>
          <w:szCs w:val="24"/>
          <w:shd w:fill="auto" w:val="clear"/>
        </w:rPr>
        <w:t>Aquisição de tampão de ferro, conforme Termo de Referência.</w:t>
      </w:r>
    </w:p>
    <w:p>
      <w:pPr>
        <w:pStyle w:val="Normal"/>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D E C L A R A Ç Ã O</w:t>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sz w:val="24"/>
          <w:szCs w:val="24"/>
          <w:shd w:fill="auto" w:val="clear"/>
        </w:rPr>
        <w:t>Empresa ..............................................., CNPJ ........................., sediada a ..................................., Cidade de ......................./SP.</w:t>
      </w:r>
    </w:p>
    <w:p>
      <w:pPr>
        <w:pStyle w:val="Normal"/>
        <w:spacing w:lineRule="auto" w:line="240" w:before="0" w:after="0"/>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rFonts w:cs="Calibri" w:cstheme="minorHAnsi"/>
          <w:sz w:val="24"/>
          <w:szCs w:val="24"/>
          <w:shd w:fill="auto" w:val="clear"/>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340" w:left="340"/>
        <w:jc w:val="both"/>
        <w:rPr>
          <w:highlight w:val="none"/>
          <w:shd w:fill="auto" w:val="clear"/>
        </w:rPr>
      </w:pPr>
      <w:r>
        <w:rPr>
          <w:rFonts w:cs="Calibri" w:cstheme="minorHAnsi"/>
          <w:b/>
          <w:sz w:val="24"/>
          <w:szCs w:val="24"/>
          <w:shd w:fill="auto" w:val="clear"/>
        </w:rPr>
        <w:t>a)</w:t>
      </w:r>
      <w:r>
        <w:rPr>
          <w:rFonts w:cs="Calibri" w:cstheme="minorHAnsi"/>
          <w:sz w:val="24"/>
          <w:szCs w:val="24"/>
          <w:shd w:fill="auto" w:val="clear"/>
        </w:rPr>
        <w:t xml:space="preserve"> Nossa empresa não está impedida de contratar com a Administração Pública Municipal, direta e indireta;</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720" w:left="720"/>
        <w:jc w:val="both"/>
        <w:rPr>
          <w:highlight w:val="none"/>
          <w:shd w:fill="auto" w:val="clear"/>
        </w:rPr>
      </w:pPr>
      <w:r>
        <w:rPr>
          <w:rFonts w:cs="Calibri" w:cstheme="minorHAnsi"/>
          <w:b/>
          <w:sz w:val="24"/>
          <w:szCs w:val="24"/>
          <w:shd w:fill="auto" w:val="clear"/>
        </w:rPr>
        <w:t>b)</w:t>
      </w:r>
      <w:r>
        <w:rPr>
          <w:rFonts w:cs="Calibri" w:cstheme="minorHAnsi"/>
          <w:sz w:val="24"/>
          <w:szCs w:val="24"/>
          <w:shd w:fill="auto" w:val="clear"/>
        </w:rPr>
        <w:t xml:space="preserve"> Não foi declarada inidônea pelo Poder Público, de nenhuma esfera;</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720" w:left="720"/>
        <w:jc w:val="both"/>
        <w:rPr>
          <w:highlight w:val="none"/>
          <w:shd w:fill="auto" w:val="clear"/>
        </w:rPr>
      </w:pPr>
      <w:r>
        <w:rPr>
          <w:rFonts w:cs="Calibri" w:cstheme="minorHAnsi"/>
          <w:b/>
          <w:sz w:val="24"/>
          <w:szCs w:val="24"/>
          <w:shd w:fill="auto" w:val="clear"/>
        </w:rPr>
        <w:t>c)</w:t>
      </w:r>
      <w:r>
        <w:rPr>
          <w:rFonts w:cs="Calibri" w:cstheme="minorHAnsi"/>
          <w:sz w:val="24"/>
          <w:szCs w:val="24"/>
          <w:shd w:fill="auto" w:val="clear"/>
        </w:rPr>
        <w:t xml:space="preserve"> Não existe fato impeditivo à nossa habilitação;</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 xml:space="preserve">d) </w:t>
      </w:r>
      <w:r>
        <w:rPr>
          <w:rFonts w:cs="Calibri" w:cstheme="minorHAnsi"/>
          <w:sz w:val="24"/>
          <w:szCs w:val="24"/>
          <w:shd w:fill="auto" w:val="clear"/>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shd w:fill="auto" w:val="clear"/>
        </w:rPr>
        <w:t>;</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e)</w:t>
      </w:r>
      <w:r>
        <w:rPr>
          <w:rFonts w:cs="Calibri" w:cstheme="minorHAnsi"/>
          <w:sz w:val="24"/>
          <w:szCs w:val="24"/>
          <w:shd w:fill="auto" w:val="clear"/>
        </w:rPr>
        <w:t xml:space="preserve"> Nossa empresa está em dia com todas as determinações trabalhistas e demais legislações aplicáveis.</w:t>
      </w:r>
    </w:p>
    <w:p>
      <w:pPr>
        <w:pStyle w:val="Normal"/>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f)</w:t>
      </w:r>
      <w:r>
        <w:rPr>
          <w:rFonts w:cs="Calibri" w:cstheme="minorHAnsi"/>
          <w:sz w:val="24"/>
          <w:szCs w:val="24"/>
          <w:shd w:fill="auto" w:val="clear"/>
        </w:rPr>
        <w:t xml:space="preserve"> </w:t>
      </w:r>
      <w:r>
        <w:rPr>
          <w:rFonts w:cs="Calibri" w:cstheme="minorHAnsi"/>
          <w:iCs/>
          <w:sz w:val="24"/>
          <w:szCs w:val="24"/>
          <w:shd w:fill="auto" w:val="clear"/>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shd w:fill="auto" w:val="clear"/>
        </w:rPr>
        <w:t>.</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g)</w:t>
      </w:r>
      <w:r>
        <w:rPr>
          <w:rFonts w:cs="Calibri" w:cstheme="minorHAnsi"/>
          <w:sz w:val="24"/>
          <w:szCs w:val="24"/>
          <w:shd w:fill="auto" w:val="clear"/>
        </w:rPr>
        <w:t xml:space="preserve"> </w:t>
      </w:r>
      <w:r>
        <w:rPr>
          <w:rFonts w:cs="Calibri" w:cstheme="minorHAnsi"/>
          <w:color w:val="000000"/>
          <w:sz w:val="24"/>
          <w:szCs w:val="24"/>
          <w:shd w:fill="auto" w:val="clear"/>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highlight w:val="none"/>
          <w:shd w:fill="auto" w:val="clear"/>
        </w:rPr>
      </w:pPr>
      <w:r>
        <w:rPr>
          <w:rFonts w:cs="Calibri" w:cstheme="minorHAnsi"/>
          <w:color w:val="000000"/>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h)</w:t>
      </w:r>
      <w:r>
        <w:rPr>
          <w:rFonts w:cs="Calibri" w:cstheme="minorHAnsi"/>
          <w:sz w:val="24"/>
          <w:szCs w:val="24"/>
          <w:shd w:fill="auto" w:val="clear"/>
        </w:rPr>
        <w:t xml:space="preserve"> </w:t>
      </w:r>
      <w:r>
        <w:rPr>
          <w:b/>
          <w:color w:val="000000"/>
          <w:sz w:val="24"/>
          <w:szCs w:val="24"/>
          <w:shd w:fill="auto" w:val="clear"/>
        </w:rPr>
        <w:t>está ciente e concorda com as condições contidas no Termo de Referência e seus anexos</w:t>
      </w:r>
      <w:r>
        <w:rPr>
          <w:color w:val="000000"/>
          <w:sz w:val="24"/>
          <w:szCs w:val="24"/>
          <w:shd w:fill="auto" w:val="clear"/>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Calibri" w:cstheme="minorHAnsi"/>
          <w:color w:val="000000"/>
          <w:sz w:val="24"/>
          <w:szCs w:val="24"/>
          <w:shd w:fill="auto" w:val="clear"/>
        </w:rPr>
        <w:t>.</w:t>
      </w:r>
    </w:p>
    <w:p>
      <w:pPr>
        <w:pStyle w:val="Normal"/>
        <w:spacing w:lineRule="auto" w:line="240" w:before="0" w:after="0"/>
        <w:jc w:val="both"/>
        <w:rPr>
          <w:rFonts w:cs="Calibri" w:cstheme="minorHAnsi"/>
          <w:color w:val="000000"/>
          <w:sz w:val="24"/>
          <w:szCs w:val="24"/>
          <w:highlight w:val="none"/>
          <w:shd w:fill="auto" w:val="clear"/>
        </w:rPr>
      </w:pPr>
      <w:r>
        <w:rPr>
          <w:rFonts w:cs="Calibri" w:cstheme="minorHAnsi"/>
          <w:color w:val="000000"/>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i)</w:t>
      </w:r>
      <w:r>
        <w:rPr>
          <w:rFonts w:cs="Calibri" w:cstheme="minorHAnsi"/>
          <w:sz w:val="24"/>
          <w:szCs w:val="24"/>
          <w:shd w:fill="auto" w:val="clear"/>
        </w:rPr>
        <w:t xml:space="preserve"> </w:t>
      </w:r>
      <w:r>
        <w:rPr>
          <w:color w:val="000000"/>
          <w:sz w:val="24"/>
          <w:szCs w:val="24"/>
          <w:shd w:fill="auto" w:val="clear"/>
        </w:rPr>
        <w:t>está ciente que deve seguir os padrões de segurança adequados ao uso de dados pessoais de que trata a Lei nº 13.709/2018 - Lei Geral de Proteção de Dados Pessoais (LGPD)</w:t>
      </w:r>
      <w:r>
        <w:rPr>
          <w:rFonts w:cs="Calibri" w:cstheme="minorHAnsi"/>
          <w:color w:val="000000"/>
          <w:sz w:val="24"/>
          <w:szCs w:val="24"/>
          <w:shd w:fill="auto" w:val="clear"/>
        </w:rPr>
        <w:t>.</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ind w:firstLine="709"/>
        <w:jc w:val="both"/>
        <w:rPr>
          <w:highlight w:val="none"/>
          <w:shd w:fill="auto" w:val="clear"/>
        </w:rPr>
      </w:pPr>
      <w:r>
        <w:rPr>
          <w:rFonts w:cs="Calibri" w:cstheme="minorHAnsi"/>
          <w:sz w:val="24"/>
          <w:szCs w:val="24"/>
          <w:shd w:fill="auto" w:val="clear"/>
          <w:lang w:eastAsia="zh-CN"/>
        </w:rPr>
        <w:t xml:space="preserve">Por ser a expressão da verdade, eu, </w:t>
      </w:r>
      <w:r>
        <w:rPr>
          <w:rFonts w:cs="Calibri" w:cstheme="minorHAnsi"/>
          <w:i/>
          <w:sz w:val="24"/>
          <w:szCs w:val="24"/>
          <w:shd w:fill="auto" w:val="clear"/>
          <w:lang w:eastAsia="zh-CN"/>
        </w:rPr>
        <w:t>______ (nome) ______,</w:t>
      </w:r>
      <w:r>
        <w:rPr>
          <w:rFonts w:cs="Calibri" w:cstheme="minorHAnsi"/>
          <w:sz w:val="24"/>
          <w:szCs w:val="24"/>
          <w:shd w:fill="auto" w:val="clear"/>
          <w:lang w:eastAsia="zh-CN"/>
        </w:rPr>
        <w:t xml:space="preserve"> representante legal desta empresa, firmo a presente.</w:t>
      </w:r>
    </w:p>
    <w:p>
      <w:pPr>
        <w:pStyle w:val="Normal"/>
        <w:ind w:firstLine="709"/>
        <w:jc w:val="both"/>
        <w:rPr>
          <w:rFonts w:cs="Calibri" w:cstheme="minorHAnsi"/>
          <w:sz w:val="24"/>
          <w:szCs w:val="24"/>
          <w:highlight w:val="none"/>
          <w:shd w:fill="auto" w:val="clear"/>
          <w:lang w:eastAsia="zh-CN"/>
        </w:rPr>
      </w:pPr>
      <w:r>
        <w:rPr>
          <w:rFonts w:cs="Calibri" w:cstheme="minorHAnsi"/>
          <w:sz w:val="24"/>
          <w:szCs w:val="24"/>
          <w:shd w:fill="auto" w:val="clear"/>
          <w:lang w:eastAsia="zh-CN"/>
        </w:rPr>
        <mc:AlternateContent>
          <mc:Choice Requires="wps">
            <w:drawing>
              <wp:anchor behindDoc="0" distT="0" distB="15875" distL="0" distR="18415" simplePos="0" locked="0" layoutInCell="1" allowOverlap="1" relativeHeight="13"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themeColor="text1" w:val="000000"/>
                              </w:rPr>
                            </w:pPr>
                            <w:r>
                              <w:rPr>
                                <w:color w:val="FFFFFF"/>
                              </w:rPr>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FFFFFF"/>
                        </w:rPr>
                      </w:r>
                    </w:p>
                  </w:txbxContent>
                </v:textbox>
                <w10:wrap type="none"/>
              </v:rect>
            </w:pict>
          </mc:Fallback>
        </mc:AlternateContent>
      </w:r>
    </w:p>
    <w:p>
      <w:pPr>
        <w:pStyle w:val="Normal"/>
        <w:ind w:firstLine="709"/>
        <w:jc w:val="both"/>
        <w:rPr>
          <w:rFonts w:cs="Calibri" w:cstheme="minorHAnsi"/>
          <w:sz w:val="24"/>
          <w:szCs w:val="24"/>
          <w:u w:val="single"/>
          <w:lang w:eastAsia="zh-CN"/>
        </w:rPr>
      </w:pPr>
      <w:r>
        <w:rPr>
          <w:rFonts w:cs="Calibri" w:cstheme="minorHAnsi"/>
          <w:sz w:val="24"/>
          <w:szCs w:val="24"/>
          <w:u w:val="single"/>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(local e data)</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__________________________________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 xml:space="preserve">(assinatura autorizada)                                                                     Carimbo </w:t>
      </w:r>
    </w:p>
    <w:p>
      <w:pPr>
        <w:pStyle w:val="Normal"/>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sectPr>
      <w:headerReference w:type="even" r:id="rId4"/>
      <w:headerReference w:type="default" r:id="rId5"/>
      <w:headerReference w:type="first" r:id="rId6"/>
      <w:type w:val="nextPage"/>
      <w:pgSz w:w="11906" w:h="16838"/>
      <w:pgMar w:left="720" w:right="720" w:gutter="0" w:header="708" w:top="765" w:footer="0" w:bottom="993"/>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Arial MT">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Recursos Materiais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Recursos Materiais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rPr/>
    </w:lvl>
    <w:lvl w:ilvl="1">
      <w:start w:val="1"/>
      <w:isLgl/>
      <w:numFmt w:val="decimal"/>
      <w:lvlText w:val="%1.%2"/>
      <w:lvlJc w:val="left"/>
      <w:pPr>
        <w:tabs>
          <w:tab w:val="num" w:pos="0"/>
        </w:tabs>
        <w:ind w:left="578" w:hanging="360"/>
      </w:pPr>
      <w:rPr/>
    </w:lvl>
    <w:lvl w:ilvl="2">
      <w:start w:val="1"/>
      <w:isLgl/>
      <w:numFmt w:val="decimal"/>
      <w:lvlText w:val="%1.%2.%3"/>
      <w:lvlJc w:val="left"/>
      <w:pPr>
        <w:tabs>
          <w:tab w:val="num" w:pos="0"/>
        </w:tabs>
        <w:ind w:left="938" w:hanging="720"/>
      </w:pPr>
      <w:rPr/>
    </w:lvl>
    <w:lvl w:ilvl="3">
      <w:start w:val="1"/>
      <w:isLgl/>
      <w:numFmt w:val="decimal"/>
      <w:lvlText w:val="%1.%2.%3.%4"/>
      <w:lvlJc w:val="left"/>
      <w:pPr>
        <w:tabs>
          <w:tab w:val="num" w:pos="0"/>
        </w:tabs>
        <w:ind w:left="938" w:hanging="720"/>
      </w:pPr>
      <w:rPr/>
    </w:lvl>
    <w:lvl w:ilvl="4">
      <w:start w:val="1"/>
      <w:isLgl/>
      <w:numFmt w:val="decimal"/>
      <w:lvlText w:val="%1.%2.%3.%4.%5"/>
      <w:lvlJc w:val="left"/>
      <w:pPr>
        <w:tabs>
          <w:tab w:val="num" w:pos="0"/>
        </w:tabs>
        <w:ind w:left="1298" w:hanging="1080"/>
      </w:pPr>
      <w:rPr/>
    </w:lvl>
    <w:lvl w:ilvl="5">
      <w:start w:val="1"/>
      <w:isLgl/>
      <w:numFmt w:val="decimal"/>
      <w:lvlText w:val="%1.%2.%3.%4.%5.%6"/>
      <w:lvlJc w:val="left"/>
      <w:pPr>
        <w:tabs>
          <w:tab w:val="num" w:pos="0"/>
        </w:tabs>
        <w:ind w:left="1298" w:hanging="1080"/>
      </w:pPr>
      <w:rPr/>
    </w:lvl>
    <w:lvl w:ilvl="6">
      <w:start w:val="1"/>
      <w:isLgl/>
      <w:numFmt w:val="decimal"/>
      <w:lvlText w:val="%1.%2.%3.%4.%5.%6.%7"/>
      <w:lvlJc w:val="left"/>
      <w:pPr>
        <w:tabs>
          <w:tab w:val="num" w:pos="0"/>
        </w:tabs>
        <w:ind w:left="1658" w:hanging="1440"/>
      </w:pPr>
      <w:rPr/>
    </w:lvl>
    <w:lvl w:ilvl="7">
      <w:start w:val="1"/>
      <w:isLgl/>
      <w:numFmt w:val="decimal"/>
      <w:lvlText w:val="%1.%2.%3.%4.%5.%6.%7.%8"/>
      <w:lvlJc w:val="left"/>
      <w:pPr>
        <w:tabs>
          <w:tab w:val="num" w:pos="0"/>
        </w:tabs>
        <w:ind w:left="1658" w:hanging="1440"/>
      </w:pPr>
      <w:rPr/>
    </w:lvl>
    <w:lvl w:ilvl="8">
      <w:start w:val="1"/>
      <w:isLgl/>
      <w:numFmt w:val="decimal"/>
      <w:lvlText w:val="%1.%2.%3.%4.%5.%6.%7.%8.%9"/>
      <w:lvlJc w:val="left"/>
      <w:pPr>
        <w:tabs>
          <w:tab w:val="num" w:pos="0"/>
        </w:tabs>
        <w:ind w:left="1658" w:hanging="1440"/>
      </w:pPr>
      <w:rPr/>
    </w:lvl>
  </w:abstractNum>
  <w:abstractNum w:abstractNumId="2">
    <w:lvl w:ilvl="0">
      <w:start w:val="6"/>
      <w:numFmt w:val="decimal"/>
      <w:lvlText w:val="%1"/>
      <w:lvlJc w:val="left"/>
      <w:pPr>
        <w:tabs>
          <w:tab w:val="num" w:pos="0"/>
        </w:tabs>
        <w:ind w:left="360" w:hanging="360"/>
      </w:pPr>
      <w:rPr/>
    </w:lvl>
    <w:lvl w:ilvl="1">
      <w:start w:val="4"/>
      <w:numFmt w:val="decimal"/>
      <w:lvlText w:val="%1.%2"/>
      <w:lvlJc w:val="left"/>
      <w:pPr>
        <w:tabs>
          <w:tab w:val="num" w:pos="0"/>
        </w:tabs>
        <w:ind w:left="578" w:hanging="360"/>
      </w:pPr>
      <w:rPr/>
    </w:lvl>
    <w:lvl w:ilvl="2">
      <w:start w:val="1"/>
      <w:numFmt w:val="decimal"/>
      <w:lvlText w:val="%1.%2.%3"/>
      <w:lvlJc w:val="left"/>
      <w:pPr>
        <w:tabs>
          <w:tab w:val="num" w:pos="0"/>
        </w:tabs>
        <w:ind w:left="1156" w:hanging="720"/>
      </w:pPr>
      <w:rPr/>
    </w:lvl>
    <w:lvl w:ilvl="3">
      <w:start w:val="1"/>
      <w:numFmt w:val="decimal"/>
      <w:lvlText w:val="%1.%2.%3.%4"/>
      <w:lvlJc w:val="left"/>
      <w:pPr>
        <w:tabs>
          <w:tab w:val="num" w:pos="0"/>
        </w:tabs>
        <w:ind w:left="1374" w:hanging="720"/>
      </w:pPr>
      <w:rPr/>
    </w:lvl>
    <w:lvl w:ilvl="4">
      <w:start w:val="1"/>
      <w:numFmt w:val="decimal"/>
      <w:lvlText w:val="%1.%2.%3.%4.%5"/>
      <w:lvlJc w:val="left"/>
      <w:pPr>
        <w:tabs>
          <w:tab w:val="num" w:pos="0"/>
        </w:tabs>
        <w:ind w:left="1952" w:hanging="1080"/>
      </w:pPr>
      <w:rPr/>
    </w:lvl>
    <w:lvl w:ilvl="5">
      <w:start w:val="1"/>
      <w:numFmt w:val="decimal"/>
      <w:lvlText w:val="%1.%2.%3.%4.%5.%6"/>
      <w:lvlJc w:val="left"/>
      <w:pPr>
        <w:tabs>
          <w:tab w:val="num" w:pos="0"/>
        </w:tabs>
        <w:ind w:left="2170" w:hanging="1080"/>
      </w:pPr>
      <w:rPr/>
    </w:lvl>
    <w:lvl w:ilvl="6">
      <w:start w:val="1"/>
      <w:numFmt w:val="decimal"/>
      <w:lvlText w:val="%1.%2.%3.%4.%5.%6.%7"/>
      <w:lvlJc w:val="left"/>
      <w:pPr>
        <w:tabs>
          <w:tab w:val="num" w:pos="0"/>
        </w:tabs>
        <w:ind w:left="2748" w:hanging="1440"/>
      </w:pPr>
      <w:rPr/>
    </w:lvl>
    <w:lvl w:ilvl="7">
      <w:start w:val="1"/>
      <w:numFmt w:val="decimal"/>
      <w:lvlText w:val="%1.%2.%3.%4.%5.%6.%7.%8"/>
      <w:lvlJc w:val="left"/>
      <w:pPr>
        <w:tabs>
          <w:tab w:val="num" w:pos="0"/>
        </w:tabs>
        <w:ind w:left="2966" w:hanging="1440"/>
      </w:pPr>
      <w:rPr/>
    </w:lvl>
    <w:lvl w:ilvl="8">
      <w:start w:val="1"/>
      <w:numFmt w:val="decimal"/>
      <w:lvlText w:val="%1.%2.%3.%4.%5.%6.%7.%8.%9"/>
      <w:lvlJc w:val="left"/>
      <w:pPr>
        <w:tabs>
          <w:tab w:val="num" w:pos="0"/>
        </w:tabs>
        <w:ind w:left="3544" w:hanging="180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trackedChanges" w:formatting="1" w:cryptProviderType="rsaAES" w:cryptAlgorithmClass="hash" w:cryptAlgorithmType="typeAny" w:cryptAlgorithmSid="" w:cryptSpinCount="0" w:hash="" w:sal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e5cba"/>
    <w:rPr>
      <w:rFonts w:ascii="Tahoma" w:hAnsi="Tahoma" w:cs="Tahoma"/>
      <w:sz w:val="16"/>
      <w:szCs w:val="16"/>
    </w:rPr>
  </w:style>
  <w:style w:type="character" w:styleId="Hyperlink" w:customStyle="1">
    <w:name w:val="Hyperlink"/>
    <w:basedOn w:val="DefaultParagraphFont"/>
    <w:uiPriority w:val="99"/>
    <w:unhideWhenUsed/>
    <w:rsid w:val="00617d16"/>
    <w:rPr>
      <w:color w:val="0000FF"/>
      <w:u w:val="single"/>
    </w:rPr>
  </w:style>
  <w:style w:type="character" w:styleId="TextodenotaderodapChar" w:customStyle="1">
    <w:name w:val="Texto de nota de rodapé Char"/>
    <w:basedOn w:val="DefaultParagraphFont"/>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themeColor="text1" w:themeTint="80" w:val="7F7F7F"/>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uiPriority w:val="99"/>
    <w:qFormat/>
    <w:rsid w:val="005a0432"/>
    <w:rPr/>
  </w:style>
  <w:style w:type="character" w:styleId="RodapChar" w:customStyle="1">
    <w:name w:val="Rodapé Char"/>
    <w:basedOn w:val="DefaultParagraphFont"/>
    <w:uiPriority w:val="99"/>
    <w:qFormat/>
    <w:rsid w:val="005a0432"/>
    <w:rPr/>
  </w:style>
  <w:style w:type="character" w:styleId="InternetLink">
    <w:name w:val="Internet Link"/>
    <w:basedOn w:val="DefaultParagraphFont"/>
    <w:uiPriority w:val="99"/>
    <w:unhideWhenUsed/>
    <w:qFormat/>
    <w:rsid w:val="007362a0"/>
    <w:rPr>
      <w:color w:val="0000FF"/>
      <w:u w:val="single"/>
    </w:rPr>
  </w:style>
  <w:style w:type="character" w:styleId="PargrafodaListaChar" w:customStyle="1">
    <w:name w:val="Parágrafo da Lista Char"/>
    <w:link w:val="ListParagraph"/>
    <w:uiPriority w:val="34"/>
    <w:qFormat/>
    <w:rsid w:val="00813177"/>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FootnoteText">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Header"/>
    <w:next w:val="Header"/>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pPr>
    <w:rPr>
      <w:rFonts w:ascii="Ecofont_Spranq_eco_Sans" w:hAnsi="Ecofont_Spranq_eco_Sans" w:eastAsia="Times New Roman" w:cs="Ecofont_Spranq_eco_Sans"/>
      <w:sz w:val="24"/>
      <w:szCs w:val="24"/>
      <w:lang w:eastAsia="pt-BR"/>
    </w:rPr>
  </w:style>
  <w:style w:type="paragraph" w:styleId="TableParagraph" w:customStyle="1">
    <w:name w:val="Table Paragraph"/>
    <w:basedOn w:val="Normal"/>
    <w:uiPriority w:val="1"/>
    <w:qFormat/>
    <w:rsid w:val="0023089e"/>
    <w:pPr>
      <w:widowControl w:val="false"/>
      <w:suppressAutoHyphens w:val="false"/>
      <w:spacing w:lineRule="auto" w:line="240" w:before="0" w:after="0"/>
    </w:pPr>
    <w:rPr>
      <w:rFonts w:ascii="Arial MT" w:hAnsi="Arial MT" w:eastAsia="Arial MT" w:cs="Arial MT"/>
      <w:lang w:val="pt-PT"/>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mentoClaro-nfase1">
    <w:name w:val="Light Shading Accent 1"/>
    <w:basedOn w:val="Tabelanormal"/>
    <w:uiPriority w:val="60"/>
    <w:rsid w:val="00e811a9"/>
    <w:rPr>
      <w:rFonts w:eastAsiaTheme="minorEastAsia"/>
      <w:lang w:eastAsia="pt-BR"/>
      <w:color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themeColor="accent1" w:themeShade="bf"/>
      </w:rPr>
      <w:tblPr/>
    </w:tblStylePr>
    <w:tblStylePr w:type="lastCol">
      <w:rPr>
        <w:b/>
        <w:bCs/>
        <w:color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jc.sp.gov.br,%20" TargetMode="External"/><Relationship Id="rId3" Type="http://schemas.openxmlformats.org/officeDocument/2006/relationships/hyperlink" Target="http://www.portaldatransparencia.gov.br/cei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D67A8-AAD3-44E1-AFFE-A1E5F8FDF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LibreOffice/24.2.6.2$Windows_X86_64 LibreOffice_project/ef66aa7e36a1bb8e65bfbc63aba53045a14d0871</Application>
  <AppVersion>15.0000</AppVersion>
  <Pages>9</Pages>
  <Words>2651</Words>
  <Characters>14673</Characters>
  <CharactersWithSpaces>17346</CharactersWithSpaces>
  <Paragraphs>173</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2024-09-13T17:53:00Z</dcterms:created>
  <dc:creator>Diego de Souza Santos</dc:creator>
  <dc:description/>
  <dc:language>pt-BR</dc:language>
  <cp:lastModifiedBy/>
  <cp:lastPrinted>2024-07-22T17:59:00Z</cp:lastPrinted>
  <dcterms:modified xsi:type="dcterms:W3CDTF">2025-08-04T17:55:03Z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