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A2D05">
              <w:rPr>
                <w:b/>
                <w:sz w:val="32"/>
                <w:szCs w:val="32"/>
              </w:rPr>
              <w:t>1224/2026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2A2D0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11B26">
              <w:rPr>
                <w:sz w:val="24"/>
                <w:szCs w:val="24"/>
              </w:rPr>
              <w:t>2</w:t>
            </w:r>
            <w:r w:rsidR="002A2D05">
              <w:rPr>
                <w:sz w:val="24"/>
                <w:szCs w:val="24"/>
              </w:rPr>
              <w:t>8</w:t>
            </w:r>
            <w:r w:rsidR="00F11B26">
              <w:rPr>
                <w:sz w:val="24"/>
                <w:szCs w:val="24"/>
              </w:rPr>
              <w:t xml:space="preserve"> de abril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A2D05">
              <w:rPr>
                <w:b/>
                <w:sz w:val="24"/>
                <w:szCs w:val="24"/>
              </w:rPr>
              <w:t>35661</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2A2D05">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2A2D05">
              <w:rPr>
                <w:b/>
                <w:sz w:val="24"/>
                <w:szCs w:val="24"/>
              </w:rPr>
              <w:t>04/05</w:t>
            </w:r>
            <w:r w:rsidR="00F11B26">
              <w:rPr>
                <w:b/>
                <w:sz w:val="24"/>
                <w:szCs w:val="24"/>
              </w:rPr>
              <w:t>/2026</w:t>
            </w:r>
            <w:r w:rsidRPr="009F03B4">
              <w:rPr>
                <w:b/>
                <w:sz w:val="24"/>
                <w:szCs w:val="24"/>
              </w:rPr>
              <w:t xml:space="preserve">, às </w:t>
            </w:r>
            <w:r w:rsidR="002A2D05">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2A2D05">
              <w:rPr>
                <w:sz w:val="24"/>
                <w:szCs w:val="24"/>
              </w:rPr>
              <w:t>PLACA INTEGRADA DE PROCESSAMENTO</w:t>
            </w:r>
            <w:r w:rsidR="00F11B26" w:rsidRPr="00F11B26">
              <w:rPr>
                <w:sz w:val="24"/>
                <w:szCs w:val="24"/>
              </w:rPr>
              <w:t>.</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A2D05" w:rsidRDefault="002A2D05" w:rsidP="004E61F1">
      <w:pPr>
        <w:spacing w:after="0" w:line="240" w:lineRule="auto"/>
        <w:ind w:left="-142"/>
        <w:jc w:val="both"/>
        <w:rPr>
          <w:rFonts w:eastAsiaTheme="minorEastAsia" w:cs="Times New Roman"/>
          <w:color w:val="000000"/>
          <w:sz w:val="20"/>
          <w:szCs w:val="20"/>
          <w:lang w:eastAsia="pt-BR"/>
        </w:rPr>
      </w:pPr>
    </w:p>
    <w:p w:rsidR="002A2D05" w:rsidRDefault="002A2D05"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2A2D05">
        <w:rPr>
          <w:b/>
          <w:sz w:val="24"/>
          <w:szCs w:val="24"/>
        </w:rPr>
        <w:t>1224</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2A2D05">
        <w:rPr>
          <w:sz w:val="24"/>
          <w:szCs w:val="24"/>
        </w:rPr>
        <w:t>1224</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2A2D05">
        <w:rPr>
          <w:sz w:val="24"/>
          <w:szCs w:val="24"/>
        </w:rPr>
        <w:t>28</w:t>
      </w:r>
      <w:r w:rsidR="00F11B26">
        <w:rPr>
          <w:sz w:val="24"/>
          <w:szCs w:val="24"/>
        </w:rPr>
        <w:t xml:space="preserve">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605" w:type="dxa"/>
        <w:tblLayout w:type="fixed"/>
        <w:tblLook w:val="04A0" w:firstRow="1" w:lastRow="0" w:firstColumn="1" w:lastColumn="0" w:noHBand="0" w:noVBand="1"/>
      </w:tblPr>
      <w:tblGrid>
        <w:gridCol w:w="675"/>
        <w:gridCol w:w="852"/>
        <w:gridCol w:w="3404"/>
        <w:gridCol w:w="709"/>
        <w:gridCol w:w="851"/>
        <w:gridCol w:w="1419"/>
        <w:gridCol w:w="1418"/>
        <w:gridCol w:w="1277"/>
      </w:tblGrid>
      <w:tr w:rsidR="002A2D05" w:rsidTr="002A2D05">
        <w:trPr>
          <w:trHeight w:val="330"/>
        </w:trPr>
        <w:tc>
          <w:tcPr>
            <w:tcW w:w="675"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b/>
                <w:sz w:val="20"/>
                <w:szCs w:val="20"/>
                <w:lang w:eastAsia="pt-BR"/>
              </w:rPr>
            </w:pPr>
            <w:r>
              <w:rPr>
                <w:b/>
                <w:sz w:val="20"/>
                <w:szCs w:val="20"/>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b/>
                <w:sz w:val="20"/>
                <w:szCs w:val="20"/>
                <w:lang w:eastAsia="pt-BR"/>
              </w:rPr>
            </w:pPr>
            <w:r>
              <w:rPr>
                <w:b/>
                <w:sz w:val="20"/>
                <w:szCs w:val="20"/>
                <w:lang w:eastAsia="pt-BR"/>
              </w:rPr>
              <w:t>Código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pStyle w:val="CabealhoeRodap"/>
              <w:spacing w:after="0"/>
              <w:jc w:val="center"/>
              <w:rPr>
                <w:b/>
                <w:sz w:val="20"/>
                <w:szCs w:val="20"/>
                <w:lang w:eastAsia="pt-BR"/>
              </w:rPr>
            </w:pPr>
            <w:r>
              <w:rPr>
                <w:b/>
                <w:sz w:val="20"/>
                <w:szCs w:val="20"/>
                <w:lang w:eastAsia="pt-BR"/>
              </w:rPr>
              <w:t>Descrição</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pStyle w:val="CabealhoeRodap"/>
              <w:spacing w:after="0"/>
              <w:jc w:val="center"/>
              <w:rPr>
                <w:b/>
                <w:sz w:val="20"/>
                <w:szCs w:val="20"/>
                <w:lang w:eastAsia="pt-BR"/>
              </w:rPr>
            </w:pPr>
            <w:r>
              <w:rPr>
                <w:b/>
                <w:sz w:val="20"/>
                <w:szCs w:val="20"/>
                <w:lang w:eastAsia="pt-BR"/>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pStyle w:val="CabealhoeRodap"/>
              <w:spacing w:after="0"/>
              <w:jc w:val="center"/>
              <w:rPr>
                <w:b/>
                <w:sz w:val="20"/>
                <w:szCs w:val="20"/>
                <w:lang w:eastAsia="pt-BR"/>
              </w:rPr>
            </w:pPr>
            <w:r>
              <w:rPr>
                <w:b/>
                <w:sz w:val="20"/>
                <w:szCs w:val="20"/>
                <w:lang w:eastAsia="pt-BR"/>
              </w:rPr>
              <w:t>Quant.</w:t>
            </w:r>
          </w:p>
        </w:tc>
        <w:tc>
          <w:tcPr>
            <w:tcW w:w="1418"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b/>
                <w:sz w:val="20"/>
                <w:szCs w:val="20"/>
                <w:lang w:eastAsia="pt-BR"/>
              </w:rPr>
            </w:pPr>
            <w:r>
              <w:rPr>
                <w:b/>
                <w:sz w:val="20"/>
                <w:szCs w:val="20"/>
                <w:lang w:eastAsia="pt-BR"/>
              </w:rPr>
              <w:t>Marca/Obs.</w:t>
            </w:r>
          </w:p>
        </w:tc>
      </w:tr>
      <w:tr w:rsidR="002A2D05" w:rsidTr="002A2D05">
        <w:trPr>
          <w:trHeight w:val="842"/>
        </w:trPr>
        <w:tc>
          <w:tcPr>
            <w:tcW w:w="675"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rFonts w:cstheme="minorHAnsi"/>
                <w:sz w:val="20"/>
                <w:szCs w:val="20"/>
                <w:lang w:eastAsia="pt-BR"/>
              </w:rPr>
            </w:pPr>
            <w:r>
              <w:rPr>
                <w:rFonts w:cstheme="minorHAnsi"/>
                <w:sz w:val="20"/>
                <w:szCs w:val="20"/>
                <w:lang w:eastAsia="pt-BR"/>
              </w:rPr>
              <w:t>139993</w:t>
            </w:r>
          </w:p>
        </w:tc>
        <w:tc>
          <w:tcPr>
            <w:tcW w:w="3402" w:type="dxa"/>
            <w:tcBorders>
              <w:top w:val="single" w:sz="4" w:space="0" w:color="auto"/>
              <w:left w:val="single" w:sz="4" w:space="0" w:color="auto"/>
              <w:bottom w:val="single" w:sz="4" w:space="0" w:color="auto"/>
              <w:right w:val="single" w:sz="4" w:space="0" w:color="auto"/>
            </w:tcBorders>
            <w:vAlign w:val="center"/>
            <w:hideMark/>
          </w:tcPr>
          <w:p w:rsidR="002A2D05" w:rsidRDefault="002A2D05">
            <w:pPr>
              <w:pStyle w:val="CabealhoeRodap"/>
              <w:spacing w:after="0"/>
              <w:jc w:val="center"/>
              <w:rPr>
                <w:sz w:val="20"/>
                <w:szCs w:val="20"/>
              </w:rPr>
            </w:pPr>
            <w:r>
              <w:rPr>
                <w:sz w:val="20"/>
                <w:szCs w:val="20"/>
              </w:rPr>
              <w:t xml:space="preserve">PLACA INTEGRADA DE PROCESSAMENTO (SBC) Processador: Chipset </w:t>
            </w:r>
            <w:proofErr w:type="spellStart"/>
            <w:r>
              <w:rPr>
                <w:sz w:val="20"/>
                <w:szCs w:val="20"/>
              </w:rPr>
              <w:t>Broadcom</w:t>
            </w:r>
            <w:proofErr w:type="spellEnd"/>
            <w:r>
              <w:rPr>
                <w:sz w:val="20"/>
                <w:szCs w:val="20"/>
              </w:rPr>
              <w:t xml:space="preserve"> BCM2712, </w:t>
            </w:r>
            <w:proofErr w:type="spellStart"/>
            <w:r>
              <w:rPr>
                <w:sz w:val="20"/>
                <w:szCs w:val="20"/>
              </w:rPr>
              <w:t>Cortex</w:t>
            </w:r>
            <w:proofErr w:type="spellEnd"/>
            <w:r>
              <w:rPr>
                <w:sz w:val="20"/>
                <w:szCs w:val="20"/>
              </w:rPr>
              <w:t xml:space="preserve">- A76 64-bit </w:t>
            </w:r>
            <w:proofErr w:type="spellStart"/>
            <w:proofErr w:type="gramStart"/>
            <w:r>
              <w:rPr>
                <w:sz w:val="20"/>
                <w:szCs w:val="20"/>
              </w:rPr>
              <w:t>SoC</w:t>
            </w:r>
            <w:proofErr w:type="spellEnd"/>
            <w:proofErr w:type="gramEnd"/>
            <w:r>
              <w:rPr>
                <w:sz w:val="20"/>
                <w:szCs w:val="20"/>
              </w:rPr>
              <w:t xml:space="preserve">, quatro núcleos, 2MB de cache L3, com frequência de no mínimo 2.4 GHz. Memória RAM: Memória LPDDR4X SDRAM instalada de, no mínimo, 4GB. </w:t>
            </w:r>
            <w:proofErr w:type="gramStart"/>
            <w:r>
              <w:rPr>
                <w:sz w:val="20"/>
                <w:szCs w:val="20"/>
              </w:rPr>
              <w:t>Conectividade:</w:t>
            </w:r>
            <w:proofErr w:type="gramEnd"/>
            <w:r>
              <w:rPr>
                <w:sz w:val="20"/>
                <w:szCs w:val="20"/>
              </w:rPr>
              <w:t>4 portas USB, sendo 2 portas versão 2.0 e 2 portas versão 3.0 Bluetooth versão 5.0 integrado na placa, BLE 1 porta Gigabit Ethernet integrada na placa 2 portas micro HDDMI com suporte a resolução 4K Adaptador Wireless dual-</w:t>
            </w:r>
            <w:proofErr w:type="spellStart"/>
            <w:r>
              <w:rPr>
                <w:sz w:val="20"/>
                <w:szCs w:val="20"/>
              </w:rPr>
              <w:t>band</w:t>
            </w:r>
            <w:proofErr w:type="spellEnd"/>
            <w:r>
              <w:rPr>
                <w:sz w:val="20"/>
                <w:szCs w:val="20"/>
              </w:rPr>
              <w:t xml:space="preserve">, 2.4GHz e 5GHz IEEE 802.11ac integrado na placa Slot para interface de câmera (CSI) Slot para interface de vídeo (DSI) GPIO com 40 pinos Slot para cartão </w:t>
            </w:r>
            <w:proofErr w:type="spellStart"/>
            <w:r>
              <w:rPr>
                <w:sz w:val="20"/>
                <w:szCs w:val="20"/>
              </w:rPr>
              <w:t>microSD</w:t>
            </w:r>
            <w:proofErr w:type="spellEnd"/>
            <w:r>
              <w:rPr>
                <w:sz w:val="20"/>
                <w:szCs w:val="20"/>
              </w:rPr>
              <w:t xml:space="preserve"> Placa deverá ter a funcionalidade de </w:t>
            </w:r>
            <w:proofErr w:type="spellStart"/>
            <w:r>
              <w:rPr>
                <w:sz w:val="20"/>
                <w:szCs w:val="20"/>
              </w:rPr>
              <w:t>PoE</w:t>
            </w:r>
            <w:proofErr w:type="spellEnd"/>
            <w:r>
              <w:rPr>
                <w:sz w:val="20"/>
                <w:szCs w:val="20"/>
              </w:rPr>
              <w:t xml:space="preserve"> (Power over Ethernet) Fonte de alimentação: Bivolt automático (115/220V) </w:t>
            </w:r>
            <w:proofErr w:type="spellStart"/>
            <w:r>
              <w:rPr>
                <w:sz w:val="20"/>
                <w:szCs w:val="20"/>
              </w:rPr>
              <w:t>Pinagem</w:t>
            </w:r>
            <w:proofErr w:type="spellEnd"/>
            <w:r>
              <w:rPr>
                <w:sz w:val="20"/>
                <w:szCs w:val="20"/>
              </w:rPr>
              <w:t xml:space="preserve"> do tipo USB -C com saída de 5V/5.0A (mínimo), com </w:t>
            </w:r>
            <w:proofErr w:type="spellStart"/>
            <w:r>
              <w:rPr>
                <w:sz w:val="20"/>
                <w:szCs w:val="20"/>
              </w:rPr>
              <w:t>power</w:t>
            </w:r>
            <w:proofErr w:type="spellEnd"/>
            <w:r>
              <w:rPr>
                <w:sz w:val="20"/>
                <w:szCs w:val="20"/>
              </w:rPr>
              <w:t xml:space="preserve"> delivery suporte, para conexão com a placa. A marca da fonte deverá ser a mesma do fabricante da placa. </w:t>
            </w:r>
            <w:proofErr w:type="gramStart"/>
            <w:r>
              <w:rPr>
                <w:sz w:val="20"/>
                <w:szCs w:val="20"/>
              </w:rPr>
              <w:t>Acessórios Cabo</w:t>
            </w:r>
            <w:proofErr w:type="gramEnd"/>
            <w:r>
              <w:rPr>
                <w:sz w:val="20"/>
                <w:szCs w:val="20"/>
              </w:rPr>
              <w:t xml:space="preserve"> com conexão </w:t>
            </w:r>
            <w:proofErr w:type="spellStart"/>
            <w:r>
              <w:rPr>
                <w:sz w:val="20"/>
                <w:szCs w:val="20"/>
              </w:rPr>
              <w:t>micro-HDMI</w:t>
            </w:r>
            <w:proofErr w:type="spellEnd"/>
            <w:r>
              <w:rPr>
                <w:sz w:val="20"/>
                <w:szCs w:val="20"/>
              </w:rPr>
              <w:t xml:space="preserve"> em uma extremidade e em outra a conexão HDMI padrão com no mínimo 60 cm de comprimento. Cartão </w:t>
            </w:r>
            <w:proofErr w:type="spellStart"/>
            <w:proofErr w:type="gramStart"/>
            <w:r>
              <w:rPr>
                <w:sz w:val="20"/>
                <w:szCs w:val="20"/>
              </w:rPr>
              <w:t>microSD</w:t>
            </w:r>
            <w:proofErr w:type="spellEnd"/>
            <w:proofErr w:type="gramEnd"/>
            <w:r>
              <w:rPr>
                <w:sz w:val="20"/>
                <w:szCs w:val="20"/>
              </w:rPr>
              <w:t xml:space="preserve"> de, no mínimo, 16 GB, compatível com a </w:t>
            </w:r>
            <w:r>
              <w:rPr>
                <w:sz w:val="20"/>
                <w:szCs w:val="20"/>
              </w:rPr>
              <w:lastRenderedPageBreak/>
              <w:t xml:space="preserve">placa. Case com cooler integrado, de </w:t>
            </w:r>
            <w:proofErr w:type="gramStart"/>
            <w:r>
              <w:rPr>
                <w:sz w:val="20"/>
                <w:szCs w:val="20"/>
              </w:rPr>
              <w:t>mesma marcado</w:t>
            </w:r>
            <w:proofErr w:type="gramEnd"/>
            <w:r>
              <w:rPr>
                <w:sz w:val="20"/>
                <w:szCs w:val="20"/>
              </w:rPr>
              <w:t xml:space="preserve"> fabricante da placa, para armazenamento da placa com as seguintes dimensões máximas: 99mm Comprimento x 72mm Largura x 35mm Altura. Dissipadores de calor instalados na placa Multimídia: Suporte aos </w:t>
            </w:r>
            <w:proofErr w:type="spellStart"/>
            <w:r>
              <w:rPr>
                <w:sz w:val="20"/>
                <w:szCs w:val="20"/>
              </w:rPr>
              <w:t>codecs</w:t>
            </w:r>
            <w:proofErr w:type="spellEnd"/>
            <w:r>
              <w:rPr>
                <w:sz w:val="20"/>
                <w:szCs w:val="20"/>
              </w:rPr>
              <w:t xml:space="preserve"> H.265, H.264, MPEG-4, </w:t>
            </w:r>
            <w:proofErr w:type="spellStart"/>
            <w:proofErr w:type="gramStart"/>
            <w:r>
              <w:rPr>
                <w:sz w:val="20"/>
                <w:szCs w:val="20"/>
              </w:rPr>
              <w:t>OpenGL</w:t>
            </w:r>
            <w:proofErr w:type="spellEnd"/>
            <w:proofErr w:type="gramEnd"/>
            <w:r>
              <w:rPr>
                <w:sz w:val="20"/>
                <w:szCs w:val="20"/>
              </w:rPr>
              <w:t xml:space="preserve"> ES 3. x Sistemas Operacionais: Deverá ter suporte aos seguintes sistemas operacionais: </w:t>
            </w:r>
            <w:proofErr w:type="spellStart"/>
            <w:r>
              <w:rPr>
                <w:sz w:val="20"/>
                <w:szCs w:val="20"/>
              </w:rPr>
              <w:t>Raspberry</w:t>
            </w:r>
            <w:proofErr w:type="spellEnd"/>
            <w:r>
              <w:rPr>
                <w:sz w:val="20"/>
                <w:szCs w:val="20"/>
              </w:rPr>
              <w:t xml:space="preserve"> </w:t>
            </w:r>
            <w:proofErr w:type="spellStart"/>
            <w:proofErr w:type="gramStart"/>
            <w:r>
              <w:rPr>
                <w:sz w:val="20"/>
                <w:szCs w:val="20"/>
              </w:rPr>
              <w:t>Pi</w:t>
            </w:r>
            <w:proofErr w:type="spellEnd"/>
            <w:proofErr w:type="gramEnd"/>
            <w:r>
              <w:rPr>
                <w:sz w:val="20"/>
                <w:szCs w:val="20"/>
              </w:rPr>
              <w:t xml:space="preserve"> OS, </w:t>
            </w:r>
            <w:proofErr w:type="spellStart"/>
            <w:r>
              <w:rPr>
                <w:sz w:val="20"/>
                <w:szCs w:val="20"/>
              </w:rPr>
              <w:t>Ubuntu</w:t>
            </w:r>
            <w:proofErr w:type="spellEnd"/>
            <w:r>
              <w:rPr>
                <w:sz w:val="20"/>
                <w:szCs w:val="20"/>
              </w:rPr>
              <w:t xml:space="preserve"> Desktop, </w:t>
            </w:r>
            <w:proofErr w:type="spellStart"/>
            <w:r>
              <w:rPr>
                <w:sz w:val="20"/>
                <w:szCs w:val="20"/>
              </w:rPr>
              <w:t>Alpine</w:t>
            </w:r>
            <w:proofErr w:type="spellEnd"/>
            <w:r>
              <w:rPr>
                <w:sz w:val="20"/>
                <w:szCs w:val="20"/>
              </w:rPr>
              <w:t xml:space="preserve">, Linux, </w:t>
            </w:r>
            <w:proofErr w:type="spellStart"/>
            <w:r>
              <w:rPr>
                <w:sz w:val="20"/>
                <w:szCs w:val="20"/>
              </w:rPr>
              <w:t>Armbian</w:t>
            </w:r>
            <w:proofErr w:type="spellEnd"/>
            <w:r>
              <w:rPr>
                <w:sz w:val="20"/>
                <w:szCs w:val="20"/>
              </w:rPr>
              <w:t xml:space="preserve"> OS. Manuais técnicos (impressos ou em outras mídias): Com informações sobre instalação, configuração e operação do equipamento. Obs.: O equipamento deverá ser novo, sem uso, e fazer parte da linha de produção do fabricante na data de apresentação da proposta. O Equipamento deverá ser homologado pela ANATEL.</w:t>
            </w:r>
          </w:p>
          <w:p w:rsidR="002A2D05" w:rsidRDefault="002A2D05">
            <w:pPr>
              <w:pStyle w:val="CabealhoeRodap"/>
              <w:spacing w:after="0"/>
              <w:jc w:val="center"/>
              <w:rPr>
                <w:rFonts w:cstheme="minorHAnsi"/>
                <w:sz w:val="20"/>
                <w:szCs w:val="20"/>
                <w:lang w:eastAsia="pt-BR"/>
              </w:rPr>
            </w:pPr>
            <w:r>
              <w:rPr>
                <w:sz w:val="20"/>
                <w:szCs w:val="20"/>
              </w:rPr>
              <w:t>Garantia Total: mínima de 01 ano.</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spacing w:after="0" w:line="240" w:lineRule="auto"/>
              <w:ind w:left="-142"/>
              <w:jc w:val="center"/>
              <w:rPr>
                <w:rFonts w:cstheme="minorHAnsi"/>
                <w:sz w:val="20"/>
                <w:szCs w:val="20"/>
                <w:lang w:eastAsia="pt-BR"/>
              </w:rPr>
            </w:pPr>
            <w:r>
              <w:rPr>
                <w:rFonts w:cstheme="minorHAnsi"/>
                <w:sz w:val="20"/>
                <w:szCs w:val="20"/>
                <w:lang w:eastAsia="pt-BR"/>
              </w:rPr>
              <w:lastRenderedPageBreak/>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2A2D05" w:rsidRDefault="002A2D05">
            <w:pPr>
              <w:spacing w:after="0"/>
              <w:rPr>
                <w:rFonts w:cstheme="minorHAnsi"/>
                <w:sz w:val="20"/>
                <w:szCs w:val="20"/>
                <w:lang w:eastAsia="pt-BR"/>
              </w:rPr>
            </w:pPr>
            <w:r>
              <w:rPr>
                <w:rFonts w:cstheme="minorHAnsi"/>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A2D05" w:rsidRDefault="002A2D05">
            <w:pPr>
              <w:spacing w:after="0"/>
              <w:rPr>
                <w:rFonts w:cstheme="minorHAnsi"/>
                <w:sz w:val="20"/>
                <w:szCs w:val="20"/>
                <w:lang w:eastAsia="pt-BR"/>
              </w:rPr>
            </w:pPr>
            <w:r>
              <w:rPr>
                <w:rFonts w:cstheme="minorHAnsi"/>
                <w:sz w:val="20"/>
                <w:szCs w:val="20"/>
                <w:lang w:eastAsia="pt-BR"/>
              </w:rPr>
              <w:t>R$</w:t>
            </w:r>
          </w:p>
        </w:tc>
        <w:tc>
          <w:tcPr>
            <w:tcW w:w="1276" w:type="dxa"/>
            <w:tcBorders>
              <w:top w:val="single" w:sz="4" w:space="0" w:color="auto"/>
              <w:left w:val="single" w:sz="4" w:space="0" w:color="auto"/>
              <w:bottom w:val="single" w:sz="4" w:space="0" w:color="auto"/>
              <w:right w:val="single" w:sz="4" w:space="0" w:color="auto"/>
            </w:tcBorders>
            <w:vAlign w:val="center"/>
          </w:tcPr>
          <w:p w:rsidR="002A2D05" w:rsidRDefault="002A2D05">
            <w:pPr>
              <w:spacing w:after="0"/>
              <w:rPr>
                <w:rFonts w:cstheme="minorHAnsi"/>
                <w:sz w:val="20"/>
                <w:szCs w:val="20"/>
                <w:lang w:eastAsia="pt-BR"/>
              </w:rPr>
            </w:pPr>
          </w:p>
        </w:tc>
      </w:tr>
      <w:tr w:rsidR="002A2D05" w:rsidTr="002A2D05">
        <w:trPr>
          <w:trHeight w:val="842"/>
        </w:trPr>
        <w:tc>
          <w:tcPr>
            <w:tcW w:w="10598" w:type="dxa"/>
            <w:gridSpan w:val="8"/>
            <w:tcBorders>
              <w:top w:val="single" w:sz="4" w:space="0" w:color="auto"/>
              <w:left w:val="single" w:sz="4" w:space="0" w:color="auto"/>
              <w:bottom w:val="single" w:sz="4" w:space="0" w:color="auto"/>
              <w:right w:val="single" w:sz="4" w:space="0" w:color="auto"/>
            </w:tcBorders>
            <w:vAlign w:val="center"/>
            <w:hideMark/>
          </w:tcPr>
          <w:p w:rsidR="002A2D05" w:rsidRDefault="002A2D05">
            <w:pPr>
              <w:spacing w:after="0"/>
              <w:rPr>
                <w:rFonts w:cstheme="minorHAnsi"/>
                <w:sz w:val="20"/>
                <w:szCs w:val="20"/>
                <w:lang w:eastAsia="pt-BR"/>
              </w:rPr>
            </w:pPr>
            <w:r>
              <w:rPr>
                <w:rFonts w:cstheme="minorHAnsi"/>
                <w:sz w:val="20"/>
                <w:szCs w:val="20"/>
                <w:highlight w:val="yellow"/>
                <w:lang w:eastAsia="pt-BR"/>
              </w:rPr>
              <w:lastRenderedPageBreak/>
              <w:t>***ENVIAR JUNTO À PROPOSTA MATERIAL DIVULGADO PELO FABRICANTE COM DESCRIÇÕES TÉCNICAS QUE COMPROVEM O ATENDIMENTO A TODOS OS REQUISITOS DAS ESPECIFICAÇÕES.</w:t>
            </w: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2A2D05" w:rsidRDefault="002A2D0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2A2D05">
        <w:rPr>
          <w:rFonts w:cstheme="minorHAnsi"/>
          <w:b/>
          <w:sz w:val="24"/>
          <w:szCs w:val="24"/>
        </w:rPr>
        <w:t>1224</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2A2D05">
        <w:rPr>
          <w:sz w:val="24"/>
          <w:szCs w:val="24"/>
        </w:rPr>
        <w:t>PLACA INTEGRADA DE PROCESSAMENTO</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A2D05"/>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4FBE4-A62E-4DE7-8785-7BEA8FDD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3008</Words>
  <Characters>16246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2026-04-28T12:47:00Z</dcterms:created>
  <dcterms:modified xsi:type="dcterms:W3CDTF">2026-04-28T12:47:00Z</dcterms:modified>
  <dc:language>pt-BR</dc:language>
</cp:coreProperties>
</file>