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0"/>
          <w:szCs w:val="20"/>
        </w:rPr>
      </w:pPr>
      <w:r>
        <w:rPr>
          <w:rFonts w:cs="Times New Roman"/>
          <w:sz w:val="20"/>
          <w:szCs w:val="20"/>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sz w:val="32"/>
                <w:szCs w:val="32"/>
              </w:rPr>
            </w:pPr>
            <w:r>
              <w:rPr>
                <w:b/>
                <w:sz w:val="32"/>
                <w:szCs w:val="32"/>
              </w:rPr>
            </w:r>
          </w:p>
          <w:p>
            <w:pPr>
              <w:pStyle w:val="Normal"/>
              <w:widowControl/>
              <w:suppressAutoHyphens w:val="true"/>
              <w:spacing w:lineRule="auto" w:line="240" w:before="0" w:after="0"/>
              <w:jc w:val="center"/>
              <w:rPr>
                <w:b/>
                <w:sz w:val="32"/>
                <w:szCs w:val="32"/>
              </w:rPr>
            </w:pPr>
            <w:r>
              <w:rPr>
                <w:rFonts w:eastAsia="Calibri" w:cs=""/>
                <w:b/>
                <w:kern w:val="0"/>
                <w:sz w:val="32"/>
                <w:szCs w:val="32"/>
                <w:lang w:val="pt-BR" w:eastAsia="en-US" w:bidi="ar-SA"/>
              </w:rPr>
              <w:t>AVISO DE DISPENSA DE LICITAÇÃO N° 316</w:t>
            </w:r>
            <w:r>
              <w:rPr>
                <w:rFonts w:eastAsia="Calibri" w:cs=""/>
                <w:b/>
                <w:kern w:val="0"/>
                <w:sz w:val="32"/>
                <w:szCs w:val="32"/>
                <w:lang w:val="pt-BR" w:eastAsia="en-US" w:bidi="ar-SA"/>
              </w:rPr>
              <w:t>7</w:t>
            </w:r>
            <w:r>
              <w:rPr>
                <w:rFonts w:eastAsia="Calibri" w:cs=""/>
                <w:b/>
                <w:kern w:val="0"/>
                <w:sz w:val="32"/>
                <w:szCs w:val="32"/>
                <w:lang w:val="pt-BR" w:eastAsia="en-US" w:bidi="ar-SA"/>
              </w:rPr>
              <w:t>/2026</w:t>
            </w:r>
          </w:p>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FUNDAMENTAÇÃO LEGAL: ART. 75, INCISO II, DA LEI FEDERAL Nº 14.133/2021;</w:t>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c>
      </w:tr>
    </w:tbl>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b/>
                <w:sz w:val="24"/>
                <w:szCs w:val="24"/>
              </w:rPr>
            </w:pPr>
            <w:r>
              <w:rPr>
                <w:rFonts w:eastAsia="Calibri" w:cs=""/>
                <w:b/>
                <w:kern w:val="0"/>
                <w:sz w:val="24"/>
                <w:szCs w:val="24"/>
                <w:lang w:val="pt-BR" w:eastAsia="en-US" w:bidi="ar-SA"/>
              </w:rPr>
              <w:t>DADOS DO AVISO</w:t>
            </w:r>
          </w:p>
          <w:p>
            <w:pPr>
              <w:pStyle w:val="Normal"/>
              <w:widowControl/>
              <w:suppressAutoHyphens w:val="true"/>
              <w:spacing w:lineRule="auto" w:line="240" w:before="0" w:after="0"/>
              <w:jc w:val="center"/>
              <w:rPr>
                <w:rFonts w:eastAsia="" w:cs="Times New Roman" w:eastAsiaTheme="minorEastAsia"/>
                <w:b/>
                <w:color w:val="000000"/>
                <w:sz w:val="24"/>
                <w:szCs w:val="24"/>
                <w:lang w:eastAsia="pt-BR"/>
              </w:rPr>
            </w:pPr>
            <w:r>
              <w:rPr>
                <w:rFonts w:eastAsia="Calibri" w:cs=""/>
                <w:kern w:val="0"/>
                <w:sz w:val="24"/>
                <w:szCs w:val="24"/>
                <w:lang w:val="pt-BR" w:eastAsia="en-US" w:bidi="ar-SA"/>
              </w:rPr>
              <w:t>São José dos Campos, 15 de setembro de 2026.</w:t>
            </w:r>
          </w:p>
        </w:tc>
      </w:tr>
      <w:tr>
        <w:trPr/>
        <w:tc>
          <w:tcPr>
            <w:tcW w:w="10605" w:type="dxa"/>
            <w:gridSpan w:val="2"/>
            <w:tcBorders/>
          </w:tcPr>
          <w:p>
            <w:pPr>
              <w:pStyle w:val="Normal"/>
              <w:widowControl/>
              <w:suppressAutoHyphens w:val="true"/>
              <w:spacing w:lineRule="auto" w:line="240" w:before="0" w:after="0"/>
              <w:jc w:val="both"/>
              <w:rPr>
                <w:b/>
                <w:sz w:val="24"/>
                <w:szCs w:val="24"/>
              </w:rPr>
            </w:pPr>
            <w:r>
              <w:rPr>
                <w:b/>
                <w:sz w:val="24"/>
                <w:szCs w:val="24"/>
              </w:rPr>
            </w:r>
          </w:p>
          <w:p>
            <w:pPr>
              <w:pStyle w:val="Normal"/>
              <w:widowControl/>
              <w:suppressAutoHyphens w:val="true"/>
              <w:spacing w:lineRule="auto" w:line="240" w:before="0" w:after="0"/>
              <w:jc w:val="both"/>
              <w:rPr>
                <w:b/>
                <w:sz w:val="24"/>
                <w:szCs w:val="24"/>
              </w:rPr>
            </w:pPr>
            <w:r>
              <w:rPr>
                <w:rFonts w:eastAsia="Calibri" w:cs=""/>
                <w:b/>
                <w:kern w:val="0"/>
                <w:sz w:val="24"/>
                <w:szCs w:val="24"/>
                <w:lang w:val="pt-BR" w:eastAsia="en-US" w:bidi="ar-SA"/>
              </w:rPr>
              <w:t>PROCESSO ADMINISTRATIVO: 1038</w:t>
            </w:r>
            <w:r>
              <w:rPr>
                <w:rFonts w:eastAsia="Calibri" w:cs=""/>
                <w:b/>
                <w:kern w:val="0"/>
                <w:sz w:val="24"/>
                <w:szCs w:val="24"/>
                <w:lang w:val="pt-BR" w:eastAsia="en-US" w:bidi="ar-SA"/>
              </w:rPr>
              <w:t>62</w:t>
            </w:r>
            <w:r>
              <w:rPr>
                <w:rFonts w:eastAsia="Calibri" w:cs=""/>
                <w:b/>
                <w:kern w:val="0"/>
                <w:sz w:val="24"/>
                <w:szCs w:val="24"/>
                <w:lang w:val="pt-BR" w:eastAsia="en-US" w:bidi="ar-SA"/>
              </w:rPr>
              <w:t>/2026</w:t>
            </w:r>
          </w:p>
          <w:p>
            <w:pPr>
              <w:pStyle w:val="Normal"/>
              <w:widowControl/>
              <w:suppressAutoHyphens w:val="true"/>
              <w:spacing w:lineRule="auto" w:line="240" w:before="0" w:after="0"/>
              <w:jc w:val="both"/>
              <w:rPr>
                <w:rFonts w:eastAsia="" w:cs="Times New Roman" w:eastAsiaTheme="minorEastAsia"/>
                <w:b/>
                <w:color w:val="000000"/>
                <w:sz w:val="24"/>
                <w:szCs w:val="24"/>
                <w:lang w:eastAsia="pt-BR"/>
              </w:rPr>
            </w:pPr>
            <w:r>
              <w:rPr>
                <w:rFonts w:eastAsia="" w:cs="Times New Roman" w:eastAsiaTheme="minorEastAsia"/>
                <w:b/>
                <w:color w:val="000000"/>
                <w:sz w:val="24"/>
                <w:szCs w:val="24"/>
                <w:lang w:eastAsia="pt-BR"/>
              </w:rPr>
            </w:r>
          </w:p>
        </w:tc>
      </w:tr>
      <w:tr>
        <w:trPr/>
        <w:tc>
          <w:tcPr>
            <w:tcW w:w="6628" w:type="dxa"/>
            <w:tcBorders/>
          </w:tcPr>
          <w:p>
            <w:pPr>
              <w:pStyle w:val="Normal"/>
              <w:widowControl/>
              <w:suppressAutoHyphens w:val="true"/>
              <w:spacing w:lineRule="auto" w:line="240" w:before="0" w:after="0"/>
              <w:jc w:val="both"/>
              <w:rPr>
                <w:b/>
                <w:sz w:val="24"/>
                <w:szCs w:val="24"/>
              </w:rPr>
            </w:pPr>
            <w:r>
              <w:rPr>
                <w:b/>
                <w:sz w:val="24"/>
                <w:szCs w:val="24"/>
              </w:rPr>
            </w:r>
          </w:p>
          <w:p>
            <w:pPr>
              <w:pStyle w:val="Normal"/>
              <w:widowControl/>
              <w:suppressAutoHyphens w:val="true"/>
              <w:spacing w:lineRule="auto" w:line="240" w:before="0" w:after="0"/>
              <w:jc w:val="both"/>
              <w:rPr>
                <w:b/>
                <w:sz w:val="24"/>
                <w:szCs w:val="24"/>
              </w:rPr>
            </w:pPr>
            <w:r>
              <w:rPr>
                <w:rFonts w:eastAsia="Calibri" w:cs=""/>
                <w:b/>
                <w:kern w:val="0"/>
                <w:sz w:val="24"/>
                <w:szCs w:val="24"/>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color w:val="000000"/>
                <w:sz w:val="24"/>
                <w:szCs w:val="24"/>
                <w:lang w:eastAsia="pt-BR"/>
              </w:rPr>
            </w:pPr>
            <w:r>
              <w:rPr>
                <w:rFonts w:eastAsia="" w:cs="Times New Roman" w:eastAsiaTheme="minorEastAsia"/>
                <w:b/>
                <w:color w:val="000000"/>
                <w:sz w:val="24"/>
                <w:szCs w:val="24"/>
                <w:lang w:eastAsia="pt-BR"/>
              </w:rPr>
            </w:r>
          </w:p>
        </w:tc>
        <w:tc>
          <w:tcPr>
            <w:tcW w:w="3977" w:type="dxa"/>
            <w:tcBorders/>
          </w:tcPr>
          <w:p>
            <w:pPr>
              <w:pStyle w:val="Normal"/>
              <w:widowControl/>
              <w:tabs>
                <w:tab w:val="clear" w:pos="708"/>
                <w:tab w:val="left" w:pos="1635" w:leader="none"/>
              </w:tabs>
              <w:suppressAutoHyphens w:val="true"/>
              <w:spacing w:lineRule="auto" w:line="240" w:before="0" w:after="0"/>
              <w:jc w:val="center"/>
              <w:rPr>
                <w:rFonts w:eastAsia="" w:cs="Times New Roman" w:eastAsiaTheme="minorEastAsia"/>
                <w:b/>
                <w:color w:val="000000"/>
                <w:sz w:val="24"/>
                <w:szCs w:val="24"/>
                <w:lang w:eastAsia="pt-BR"/>
              </w:rPr>
            </w:pPr>
            <w:r>
              <w:rPr>
                <w:rFonts w:eastAsia="" w:cs="Times New Roman" w:eastAsiaTheme="minorEastAsia"/>
                <w:b/>
                <w:color w:val="000000"/>
                <w:sz w:val="24"/>
                <w:szCs w:val="24"/>
                <w:lang w:eastAsia="pt-BR"/>
              </w:rPr>
            </w:r>
          </w:p>
          <w:p>
            <w:pPr>
              <w:pStyle w:val="Normal"/>
              <w:widowControl/>
              <w:tabs>
                <w:tab w:val="clear" w:pos="708"/>
                <w:tab w:val="left" w:pos="1635" w:leader="none"/>
              </w:tabs>
              <w:suppressAutoHyphens w:val="true"/>
              <w:spacing w:lineRule="auto" w:line="240" w:before="0" w:after="0"/>
              <w:jc w:val="center"/>
              <w:rPr>
                <w:rFonts w:eastAsia="" w:cs="Times New Roman" w:eastAsiaTheme="minorEastAsia"/>
                <w:b/>
                <w:color w:val="000000"/>
                <w:sz w:val="24"/>
                <w:szCs w:val="24"/>
                <w:lang w:eastAsia="pt-BR"/>
              </w:rPr>
            </w:pPr>
            <w:r>
              <w:rPr>
                <w:rFonts w:eastAsia="Calibri" w:cs=""/>
                <w:b/>
                <w:kern w:val="0"/>
                <w:sz w:val="24"/>
                <w:szCs w:val="24"/>
                <w:lang w:val="pt-BR" w:eastAsia="en-US" w:bidi="ar-SA"/>
              </w:rPr>
              <w:t>Até dia 18/09/2026, às 14h00.</w:t>
            </w:r>
          </w:p>
        </w:tc>
      </w:tr>
      <w:tr>
        <w:trPr/>
        <w:tc>
          <w:tcPr>
            <w:tcW w:w="6628" w:type="dxa"/>
            <w:tcBorders/>
          </w:tcPr>
          <w:p>
            <w:pPr>
              <w:pStyle w:val="Normal"/>
              <w:widowControl/>
              <w:suppressAutoHyphens w:val="true"/>
              <w:spacing w:lineRule="auto" w:line="240" w:before="0" w:after="0"/>
              <w:jc w:val="both"/>
              <w:rPr>
                <w:b/>
                <w:sz w:val="24"/>
                <w:szCs w:val="24"/>
              </w:rPr>
            </w:pPr>
            <w:r>
              <w:rPr>
                <w:b/>
                <w:sz w:val="24"/>
                <w:szCs w:val="24"/>
              </w:rPr>
            </w:r>
          </w:p>
          <w:p>
            <w:pPr>
              <w:pStyle w:val="Normal"/>
              <w:widowControl/>
              <w:suppressAutoHyphens w:val="true"/>
              <w:spacing w:lineRule="auto" w:line="240" w:before="0" w:after="0"/>
              <w:jc w:val="both"/>
              <w:rPr>
                <w:b/>
                <w:sz w:val="24"/>
                <w:szCs w:val="24"/>
              </w:rPr>
            </w:pPr>
            <w:r>
              <w:rPr>
                <w:rFonts w:eastAsia="Calibri" w:cs=""/>
                <w:b/>
                <w:kern w:val="0"/>
                <w:sz w:val="24"/>
                <w:szCs w:val="24"/>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color w:val="000000"/>
                <w:sz w:val="24"/>
                <w:szCs w:val="24"/>
                <w:lang w:eastAsia="pt-BR"/>
              </w:rPr>
            </w:pPr>
            <w:r>
              <w:rPr>
                <w:rFonts w:eastAsia="" w:cs="Times New Roman" w:eastAsiaTheme="minorEastAsia"/>
                <w:b/>
                <w:color w:val="000000"/>
                <w:sz w:val="24"/>
                <w:szCs w:val="24"/>
                <w:lang w:eastAsia="pt-BR"/>
              </w:rPr>
            </w:r>
          </w:p>
        </w:tc>
        <w:tc>
          <w:tcPr>
            <w:tcW w:w="3977" w:type="dxa"/>
            <w:tcBorders/>
          </w:tcPr>
          <w:p>
            <w:pPr>
              <w:pStyle w:val="Normal"/>
              <w:widowControl/>
              <w:suppressAutoHyphens w:val="true"/>
              <w:spacing w:lineRule="auto" w:line="240" w:before="0" w:after="0"/>
              <w:jc w:val="center"/>
              <w:rPr>
                <w:sz w:val="24"/>
                <w:szCs w:val="24"/>
              </w:rPr>
            </w:pPr>
            <w:r>
              <w:rPr>
                <w:sz w:val="24"/>
                <w:szCs w:val="24"/>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cs=""/>
                <w:kern w:val="0"/>
                <w:sz w:val="24"/>
                <w:szCs w:val="24"/>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sz w:val="24"/>
                <w:szCs w:val="24"/>
              </w:rPr>
            </w:pPr>
            <w:r>
              <w:rPr>
                <w:b/>
                <w:sz w:val="24"/>
                <w:szCs w:val="24"/>
              </w:rPr>
            </w:r>
          </w:p>
          <w:p>
            <w:pPr>
              <w:pStyle w:val="Normal"/>
              <w:widowControl/>
              <w:suppressAutoHyphens w:val="true"/>
              <w:spacing w:lineRule="auto" w:line="240" w:before="0" w:after="0"/>
              <w:jc w:val="both"/>
              <w:rPr>
                <w:b/>
                <w:sz w:val="24"/>
                <w:szCs w:val="24"/>
              </w:rPr>
            </w:pPr>
            <w:r>
              <w:rPr>
                <w:rFonts w:eastAsia="Calibri" w:cs=""/>
                <w:b/>
                <w:kern w:val="0"/>
                <w:sz w:val="24"/>
                <w:szCs w:val="24"/>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color w:val="000000"/>
                <w:sz w:val="24"/>
                <w:szCs w:val="24"/>
                <w:lang w:eastAsia="pt-BR"/>
              </w:rPr>
            </w:pPr>
            <w:r>
              <w:rPr>
                <w:rFonts w:eastAsia="" w:cs="Times New Roman" w:eastAsiaTheme="minorEastAsia"/>
                <w:b/>
                <w:color w:val="000000"/>
                <w:sz w:val="24"/>
                <w:szCs w:val="24"/>
                <w:lang w:eastAsia="pt-BR"/>
              </w:rPr>
            </w:r>
          </w:p>
        </w:tc>
        <w:tc>
          <w:tcPr>
            <w:tcW w:w="3977" w:type="dxa"/>
            <w:tcBorders/>
          </w:tcPr>
          <w:p>
            <w:pPr>
              <w:pStyle w:val="Normal"/>
              <w:widowControl/>
              <w:suppressAutoHyphens w:val="true"/>
              <w:spacing w:lineRule="auto" w:line="240" w:before="0" w:after="0"/>
              <w:jc w:val="center"/>
              <w:rPr>
                <w:sz w:val="24"/>
                <w:szCs w:val="24"/>
              </w:rPr>
            </w:pPr>
            <w:r>
              <w:rPr>
                <w:sz w:val="24"/>
                <w:szCs w:val="24"/>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cs=""/>
                <w:kern w:val="0"/>
                <w:sz w:val="24"/>
                <w:szCs w:val="24"/>
                <w:lang w:val="pt-BR" w:eastAsia="en-US" w:bidi="ar-SA"/>
              </w:rPr>
              <w:t>jessica.tatiane@sjc.sp.gov.br</w:t>
            </w:r>
          </w:p>
        </w:tc>
      </w:tr>
      <w:tr>
        <w:trPr/>
        <w:tc>
          <w:tcPr>
            <w:tcW w:w="6628" w:type="dxa"/>
            <w:tcBorders/>
          </w:tcPr>
          <w:p>
            <w:pPr>
              <w:pStyle w:val="Normal"/>
              <w:widowControl/>
              <w:suppressAutoHyphens w:val="true"/>
              <w:spacing w:lineRule="auto" w:line="240" w:before="0" w:after="0"/>
              <w:jc w:val="both"/>
              <w:rPr>
                <w:b/>
                <w:sz w:val="24"/>
                <w:szCs w:val="24"/>
              </w:rPr>
            </w:pPr>
            <w:r>
              <w:rPr>
                <w:b/>
                <w:sz w:val="24"/>
                <w:szCs w:val="24"/>
              </w:rPr>
            </w:r>
          </w:p>
        </w:tc>
        <w:tc>
          <w:tcPr>
            <w:tcW w:w="3977" w:type="dxa"/>
            <w:tcBorders/>
          </w:tcPr>
          <w:p>
            <w:pPr>
              <w:pStyle w:val="Normal"/>
              <w:widowControl/>
              <w:suppressAutoHyphens w:val="true"/>
              <w:spacing w:lineRule="auto" w:line="240" w:before="0" w:after="0"/>
              <w:jc w:val="center"/>
              <w:rPr>
                <w:sz w:val="24"/>
                <w:szCs w:val="24"/>
              </w:rPr>
            </w:pPr>
            <w:r>
              <w:rPr>
                <w:sz w:val="24"/>
                <w:szCs w:val="24"/>
              </w:rPr>
            </w:r>
          </w:p>
        </w:tc>
      </w:tr>
    </w:tbl>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rPr>
            </w:pPr>
            <w:r>
              <w:rPr>
                <w:sz w:val="24"/>
                <w:szCs w:val="24"/>
              </w:rPr>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 xml:space="preserve">O </w:t>
            </w:r>
            <w:r>
              <w:rPr>
                <w:rFonts w:eastAsia="Calibri" w:cs=""/>
                <w:b/>
                <w:kern w:val="0"/>
                <w:sz w:val="24"/>
                <w:szCs w:val="24"/>
                <w:lang w:val="pt-BR" w:eastAsia="en-US" w:bidi="ar-SA"/>
              </w:rPr>
              <w:t>MUNICÍPIO DE SÃO JOSÉ DOS CAMPOS</w:t>
            </w:r>
            <w:r>
              <w:rPr>
                <w:rFonts w:eastAsia="Calibri" w:cs=""/>
                <w:kern w:val="0"/>
                <w:sz w:val="24"/>
                <w:szCs w:val="24"/>
                <w:lang w:val="pt-BR" w:eastAsia="en-US" w:bidi="ar-SA"/>
              </w:rPr>
              <w:t xml:space="preserve">, através da Secretaria de Saúde, com sede na </w:t>
            </w:r>
            <w:r>
              <w:rPr>
                <w:rFonts w:eastAsia="" w:cs="Calibri" w:cstheme="minorHAnsi" w:eastAsiaTheme="minorEastAsia"/>
                <w:color w:val="000000"/>
                <w:kern w:val="0"/>
                <w:sz w:val="24"/>
                <w:szCs w:val="24"/>
                <w:lang w:val="pt-BR" w:eastAsia="pt-BR" w:bidi="ar-SA"/>
              </w:rPr>
              <w:t xml:space="preserve">Rua Óbidos, 140, </w:t>
            </w:r>
            <w:r>
              <w:rPr>
                <w:rFonts w:eastAsia="Calibri" w:cs=""/>
                <w:kern w:val="0"/>
                <w:sz w:val="24"/>
                <w:szCs w:val="24"/>
                <w:lang w:val="pt-BR" w:eastAsia="en-US" w:bidi="ar-SA"/>
              </w:rPr>
              <w:t xml:space="preserve">inscrita no </w:t>
            </w:r>
            <w:r>
              <w:rPr>
                <w:rFonts w:eastAsia="" w:cs="Calibri" w:cstheme="minorHAnsi" w:eastAsiaTheme="minorEastAsia"/>
                <w:color w:val="000000"/>
                <w:kern w:val="0"/>
                <w:sz w:val="24"/>
                <w:szCs w:val="24"/>
                <w:lang w:val="pt-BR" w:eastAsia="pt-BR" w:bidi="ar-SA"/>
              </w:rPr>
              <w:t>CNPJ: 46.643.466/0001-06</w:t>
            </w:r>
            <w:r>
              <w:rPr>
                <w:rFonts w:eastAsia="Calibri" w:cs=""/>
                <w:kern w:val="0"/>
                <w:sz w:val="24"/>
                <w:szCs w:val="24"/>
                <w:lang w:val="pt-BR" w:eastAsia="en-US" w:bidi="ar-SA"/>
              </w:rPr>
              <w:t xml:space="preserve">, torna pública a manifestação de interesse em obter propostas adicionais de eventuais interessados através de realização da </w:t>
            </w:r>
            <w:r>
              <w:rPr>
                <w:rFonts w:eastAsia="Calibri" w:cs=""/>
                <w:b/>
                <w:kern w:val="0"/>
                <w:sz w:val="24"/>
                <w:szCs w:val="24"/>
                <w:lang w:val="pt-BR" w:eastAsia="en-US" w:bidi="ar-SA"/>
              </w:rPr>
              <w:t>DISPENSA DE LICITAÇÃO</w:t>
            </w:r>
            <w:r>
              <w:rPr>
                <w:rFonts w:eastAsia="Calibri" w:cs=""/>
                <w:kern w:val="0"/>
                <w:sz w:val="24"/>
                <w:szCs w:val="24"/>
                <w:lang w:val="pt-BR" w:eastAsia="en-US" w:bidi="ar-SA"/>
              </w:rPr>
              <w:t xml:space="preserve">, com critério de julgamento </w:t>
            </w:r>
            <w:r>
              <w:rPr>
                <w:rFonts w:eastAsia="Calibri" w:cs=""/>
                <w:b/>
                <w:kern w:val="0"/>
                <w:sz w:val="24"/>
                <w:szCs w:val="24"/>
                <w:lang w:val="pt-BR" w:eastAsia="en-US" w:bidi="ar-SA"/>
              </w:rPr>
              <w:t>MENOR PREÇO POR ITEM</w:t>
            </w:r>
            <w:r>
              <w:rPr>
                <w:rFonts w:eastAsia="Calibri" w:cs=""/>
                <w:kern w:val="0"/>
                <w:sz w:val="24"/>
                <w:szCs w:val="24"/>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c>
      </w:tr>
    </w:tbl>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cs="Calibri" w:cstheme="minorHAnsi"/>
                <w:b/>
                <w:sz w:val="24"/>
                <w:szCs w:val="24"/>
              </w:rPr>
            </w:pPr>
            <w:r>
              <w:rPr>
                <w:rFonts w:cs="Calibri" w:cstheme="minorHAnsi"/>
                <w:b/>
                <w:sz w:val="24"/>
                <w:szCs w:val="24"/>
              </w:rPr>
            </w:r>
          </w:p>
          <w:p>
            <w:pPr>
              <w:pStyle w:val="Normal"/>
              <w:widowControl/>
              <w:suppressAutoHyphens w:val="true"/>
              <w:spacing w:lineRule="auto" w:line="240" w:before="0" w:after="0"/>
              <w:jc w:val="both"/>
              <w:rPr>
                <w:rFonts w:cs="Calibri" w:cstheme="minorHAnsi"/>
              </w:rPr>
            </w:pPr>
            <w:r>
              <w:rPr>
                <w:rFonts w:eastAsia="Calibri" w:cs="Calibri" w:cstheme="minorHAnsi"/>
                <w:b/>
                <w:kern w:val="0"/>
                <w:sz w:val="22"/>
                <w:szCs w:val="22"/>
                <w:lang w:val="pt-BR" w:eastAsia="en-US" w:bidi="ar-SA"/>
              </w:rPr>
              <w:t>OBJETO</w:t>
            </w:r>
            <w:r>
              <w:rPr>
                <w:rFonts w:eastAsia="Calibri" w:cs="Calibri" w:cstheme="minorHAnsi"/>
                <w:kern w:val="0"/>
                <w:sz w:val="22"/>
                <w:szCs w:val="22"/>
                <w:lang w:val="pt-BR" w:eastAsia="en-US" w:bidi="ar-SA"/>
              </w:rPr>
              <w:t xml:space="preserve">: COMPRA DE MEDICAMENTO: POLIVITAMINICO COM MINERAIS PARA USO EM PRE NATAL (GESTANTE) </w:t>
            </w:r>
          </w:p>
        </w:tc>
      </w:tr>
    </w:tbl>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sz w:val="24"/>
                <w:szCs w:val="24"/>
                <w:u w:val="single"/>
              </w:rPr>
            </w:pPr>
            <w:r>
              <w:rPr>
                <w:rFonts w:eastAsia="Calibri" w:cs=""/>
                <w:b/>
                <w:kern w:val="0"/>
                <w:sz w:val="24"/>
                <w:szCs w:val="24"/>
                <w:u w:val="single"/>
                <w:lang w:val="pt-BR" w:eastAsia="en-US" w:bidi="ar-SA"/>
              </w:rPr>
              <w:t>ANEXOS DESTE AVISO</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 – Modelo de Proposta</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II - Termo de Referência</w:t>
            </w:r>
          </w:p>
          <w:p>
            <w:pPr>
              <w:pStyle w:val="Normal"/>
              <w:widowControl/>
              <w:suppressAutoHyphens w:val="true"/>
              <w:spacing w:lineRule="auto" w:line="240" w:before="0" w:after="0"/>
              <w:jc w:val="both"/>
              <w:rPr>
                <w:i/>
                <w:i/>
                <w:color w:val="FF0000"/>
                <w:sz w:val="24"/>
                <w:szCs w:val="24"/>
              </w:rPr>
            </w:pPr>
            <w:r>
              <w:rPr>
                <w:rFonts w:eastAsia="Calibri" w:cs=""/>
                <w:kern w:val="0"/>
                <w:sz w:val="24"/>
                <w:szCs w:val="24"/>
                <w:lang w:val="pt-BR" w:eastAsia="en-US" w:bidi="ar-SA"/>
              </w:rPr>
              <w:t>Anexo III – Relação de Documentos de Habilitação e Declaração</w:t>
            </w:r>
          </w:p>
          <w:p>
            <w:pPr>
              <w:pStyle w:val="Normal"/>
              <w:widowControl/>
              <w:suppressAutoHyphens w:val="true"/>
              <w:spacing w:lineRule="auto" w:line="240" w:before="0" w:after="0"/>
              <w:jc w:val="both"/>
              <w:rPr>
                <w:sz w:val="24"/>
                <w:szCs w:val="24"/>
              </w:rPr>
            </w:pPr>
            <w:r>
              <w:rPr>
                <w:sz w:val="24"/>
                <w:szCs w:val="24"/>
              </w:rPr>
            </w:r>
          </w:p>
        </w:tc>
      </w:tr>
    </w:tbl>
    <w:p>
      <w:pPr>
        <w:pStyle w:val="Normal"/>
        <w:tabs>
          <w:tab w:val="clear" w:pos="708"/>
          <w:tab w:val="left" w:pos="7650" w:leader="none"/>
        </w:tabs>
        <w:spacing w:lineRule="auto" w:line="240" w:before="0" w:after="0"/>
        <w:ind w:left="-142"/>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tab/>
      </w:r>
    </w:p>
    <w:p>
      <w:pPr>
        <w:pStyle w:val="Normal"/>
        <w:spacing w:lineRule="auto" w:line="240" w:before="0" w:after="0"/>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r>
        <w:br w:type="page"/>
      </w:r>
    </w:p>
    <w:p>
      <w:pPr>
        <w:pStyle w:val="Normal"/>
        <w:spacing w:lineRule="auto" w:line="240" w:before="0" w:after="0"/>
        <w:rPr>
          <w:b/>
          <w:sz w:val="24"/>
          <w:szCs w:val="24"/>
        </w:rPr>
      </w:pPr>
      <w:r>
        <w:rPr>
          <w:b/>
          <w:sz w:val="24"/>
          <w:szCs w:val="24"/>
        </w:rPr>
      </w:r>
    </w:p>
    <w:p>
      <w:pPr>
        <w:pStyle w:val="Normal"/>
        <w:spacing w:lineRule="auto" w:line="240" w:before="0" w:after="0"/>
        <w:jc w:val="center"/>
        <w:rPr>
          <w:b/>
          <w:sz w:val="24"/>
          <w:szCs w:val="24"/>
        </w:rPr>
      </w:pPr>
      <w:r>
        <w:rPr>
          <w:b/>
          <w:sz w:val="24"/>
          <w:szCs w:val="24"/>
        </w:rPr>
      </w:r>
    </w:p>
    <w:p>
      <w:pPr>
        <w:pStyle w:val="Normal"/>
        <w:spacing w:lineRule="auto" w:line="240" w:before="0" w:after="0"/>
        <w:jc w:val="center"/>
        <w:rPr>
          <w:rFonts w:eastAsia="" w:cs="Times New Roman" w:eastAsiaTheme="minorEastAsia"/>
          <w:color w:val="000000"/>
          <w:sz w:val="20"/>
          <w:szCs w:val="20"/>
          <w:lang w:eastAsia="pt-BR"/>
        </w:rPr>
      </w:pPr>
      <w:r>
        <w:rPr>
          <w:b/>
          <w:sz w:val="24"/>
          <w:szCs w:val="24"/>
        </w:rPr>
        <w:t>AVISO DE DISPENSA DE LICITAÇÃO N° 316</w:t>
      </w:r>
      <w:r>
        <w:rPr>
          <w:b/>
          <w:sz w:val="24"/>
          <w:szCs w:val="24"/>
        </w:rPr>
        <w:t>7</w:t>
      </w:r>
      <w:r>
        <w:rPr>
          <w:b/>
          <w:sz w:val="24"/>
          <w:szCs w:val="24"/>
        </w:rPr>
        <w:t>/2026</w:t>
      </w:r>
    </w:p>
    <w:p>
      <w:pPr>
        <w:pStyle w:val="Normal"/>
        <w:spacing w:lineRule="auto" w:line="240" w:before="0" w:after="0"/>
        <w:ind w:left="-142"/>
        <w:jc w:val="both"/>
        <w:rPr>
          <w:sz w:val="24"/>
          <w:szCs w:val="24"/>
        </w:rPr>
      </w:pPr>
      <w:r>
        <w:rPr>
          <w:sz w:val="24"/>
          <w:szCs w:val="24"/>
        </w:rPr>
      </w:r>
    </w:p>
    <w:p>
      <w:pPr>
        <w:pStyle w:val="ListParagraph"/>
        <w:numPr>
          <w:ilvl w:val="0"/>
          <w:numId w:val="1"/>
        </w:numPr>
        <w:spacing w:lineRule="auto" w:line="240" w:before="0" w:after="0"/>
        <w:contextualSpacing/>
        <w:jc w:val="both"/>
        <w:rPr>
          <w:b/>
          <w:sz w:val="24"/>
          <w:szCs w:val="24"/>
        </w:rPr>
      </w:pPr>
      <w:r>
        <w:rPr>
          <w:b/>
          <w:sz w:val="24"/>
          <w:szCs w:val="24"/>
        </w:rPr>
        <w:t>REGÊNCIA LEGAL</w:t>
      </w:r>
    </w:p>
    <w:p>
      <w:pPr>
        <w:pStyle w:val="ListParagraph"/>
        <w:spacing w:lineRule="auto" w:line="240" w:before="0" w:after="0"/>
        <w:ind w:left="578"/>
        <w:contextualSpacing/>
        <w:jc w:val="both"/>
        <w:rPr>
          <w:b/>
          <w:sz w:val="24"/>
          <w:szCs w:val="24"/>
        </w:rPr>
      </w:pPr>
      <w:r>
        <w:rPr>
          <w:b/>
          <w:sz w:val="24"/>
          <w:szCs w:val="24"/>
        </w:rPr>
      </w:r>
    </w:p>
    <w:p>
      <w:pPr>
        <w:pStyle w:val="ListParagraph"/>
        <w:spacing w:lineRule="auto" w:line="240" w:before="0" w:after="0"/>
        <w:ind w:left="218"/>
        <w:contextualSpacing/>
        <w:jc w:val="both"/>
        <w:rPr>
          <w:sz w:val="24"/>
          <w:szCs w:val="24"/>
        </w:rPr>
      </w:pPr>
      <w:r>
        <w:rPr>
          <w:sz w:val="24"/>
          <w:szCs w:val="24"/>
        </w:rPr>
        <w:t xml:space="preserve">1.1 Esta contratação dar-se-á através de Dispensa de Licitação regida pelos dispositivos legais: </w:t>
      </w:r>
    </w:p>
    <w:p>
      <w:pPr>
        <w:pStyle w:val="ListParagraph"/>
        <w:spacing w:lineRule="auto" w:line="240" w:before="0" w:after="0"/>
        <w:ind w:left="218"/>
        <w:contextualSpacing/>
        <w:jc w:val="both"/>
        <w:rPr>
          <w:sz w:val="24"/>
          <w:szCs w:val="24"/>
        </w:rPr>
      </w:pPr>
      <w:r>
        <w:rPr>
          <w:sz w:val="24"/>
          <w:szCs w:val="24"/>
        </w:rPr>
        <w:t>a) Lei nº 14.133/2021, Art. 75, Inc. II; e</w:t>
      </w:r>
    </w:p>
    <w:p>
      <w:pPr>
        <w:pStyle w:val="ListParagraph"/>
        <w:spacing w:lineRule="auto" w:line="240" w:before="0" w:after="0"/>
        <w:ind w:left="218"/>
        <w:contextualSpacing/>
        <w:jc w:val="both"/>
        <w:rPr>
          <w:sz w:val="24"/>
          <w:szCs w:val="24"/>
        </w:rPr>
      </w:pPr>
      <w:r>
        <w:rPr>
          <w:sz w:val="24"/>
          <w:szCs w:val="24"/>
        </w:rPr>
        <w:t>b) Decreto nº 19.637 de 21 de maio de 2024.</w:t>
      </w:r>
    </w:p>
    <w:p>
      <w:pPr>
        <w:pStyle w:val="ListParagraph"/>
        <w:spacing w:lineRule="auto" w:line="240" w:before="0" w:after="0"/>
        <w:ind w:left="218"/>
        <w:contextualSpacing/>
        <w:jc w:val="both"/>
        <w:rPr>
          <w:sz w:val="24"/>
          <w:szCs w:val="24"/>
        </w:rPr>
      </w:pPr>
      <w:r>
        <w:rPr>
          <w:sz w:val="24"/>
          <w:szCs w:val="24"/>
        </w:rPr>
      </w:r>
    </w:p>
    <w:p>
      <w:pPr>
        <w:pStyle w:val="ListParagraph"/>
        <w:numPr>
          <w:ilvl w:val="0"/>
          <w:numId w:val="1"/>
        </w:numPr>
        <w:spacing w:lineRule="auto" w:line="240" w:before="0" w:after="0"/>
        <w:contextualSpacing/>
        <w:jc w:val="both"/>
        <w:rPr>
          <w:b/>
          <w:sz w:val="24"/>
          <w:szCs w:val="24"/>
        </w:rPr>
      </w:pPr>
      <w:r>
        <w:rPr>
          <w:b/>
          <w:sz w:val="24"/>
          <w:szCs w:val="24"/>
        </w:rPr>
        <w:t>OBJETO</w:t>
      </w:r>
    </w:p>
    <w:p>
      <w:pPr>
        <w:pStyle w:val="ListParagraph"/>
        <w:spacing w:lineRule="auto" w:line="240" w:before="0" w:after="0"/>
        <w:ind w:left="578"/>
        <w:contextualSpacing/>
        <w:jc w:val="both"/>
        <w:rPr>
          <w:b/>
          <w:sz w:val="24"/>
          <w:szCs w:val="24"/>
        </w:rPr>
      </w:pPr>
      <w:r>
        <w:rPr>
          <w:b/>
          <w:sz w:val="24"/>
          <w:szCs w:val="24"/>
        </w:rPr>
      </w:r>
    </w:p>
    <w:p>
      <w:pPr>
        <w:pStyle w:val="Normal"/>
        <w:spacing w:lineRule="auto" w:line="240" w:before="0" w:after="0"/>
        <w:ind w:left="218"/>
        <w:jc w:val="both"/>
        <w:rPr>
          <w:sz w:val="24"/>
          <w:szCs w:val="24"/>
        </w:rPr>
      </w:pPr>
      <w:r>
        <w:rPr>
          <w:sz w:val="24"/>
          <w:szCs w:val="24"/>
        </w:rPr>
        <w:t>2.1 Conforme condições constantes no Termo de Referência, Anexo II deste Aviso.</w:t>
      </w:r>
    </w:p>
    <w:p>
      <w:pPr>
        <w:pStyle w:val="ListParagraph"/>
        <w:spacing w:lineRule="auto" w:line="240" w:before="0" w:after="0"/>
        <w:ind w:left="578"/>
        <w:contextualSpacing/>
        <w:jc w:val="both"/>
        <w:rPr>
          <w:sz w:val="24"/>
          <w:szCs w:val="24"/>
        </w:rPr>
      </w:pPr>
      <w:r>
        <w:rPr>
          <w:sz w:val="24"/>
          <w:szCs w:val="24"/>
        </w:rPr>
      </w:r>
    </w:p>
    <w:p>
      <w:pPr>
        <w:pStyle w:val="ListParagraph"/>
        <w:numPr>
          <w:ilvl w:val="0"/>
          <w:numId w:val="1"/>
        </w:numPr>
        <w:spacing w:lineRule="auto" w:line="240" w:before="0" w:after="0"/>
        <w:contextualSpacing/>
        <w:jc w:val="both"/>
        <w:rPr>
          <w:b/>
          <w:sz w:val="24"/>
          <w:szCs w:val="24"/>
        </w:rPr>
      </w:pPr>
      <w:r>
        <w:rPr>
          <w:b/>
          <w:sz w:val="24"/>
          <w:szCs w:val="24"/>
        </w:rPr>
        <w:t>CONDIÇÕES DE PARTICIPAÇÃO</w:t>
      </w:r>
    </w:p>
    <w:p>
      <w:pPr>
        <w:pStyle w:val="ListParagraph"/>
        <w:spacing w:lineRule="auto" w:line="240" w:before="0" w:after="0"/>
        <w:ind w:left="578"/>
        <w:contextualSpacing/>
        <w:jc w:val="both"/>
        <w:rPr>
          <w:b/>
          <w:sz w:val="24"/>
          <w:szCs w:val="24"/>
        </w:rPr>
      </w:pPr>
      <w:r>
        <w:rPr>
          <w:b/>
          <w:sz w:val="24"/>
          <w:szCs w:val="24"/>
        </w:rPr>
      </w:r>
    </w:p>
    <w:p>
      <w:pPr>
        <w:pStyle w:val="Normal"/>
        <w:spacing w:lineRule="auto" w:line="240" w:before="0" w:after="0"/>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sz w:val="24"/>
          <w:szCs w:val="24"/>
        </w:rPr>
      </w:pPr>
      <w:r>
        <w:rPr>
          <w:sz w:val="24"/>
          <w:szCs w:val="24"/>
        </w:rPr>
        <w:t xml:space="preserve">3.2 Não poderão participar desta Dispensa de Licitação os interessados: </w:t>
      </w:r>
    </w:p>
    <w:p>
      <w:pPr>
        <w:pStyle w:val="Normal"/>
        <w:spacing w:lineRule="auto" w:line="240" w:before="0" w:after="0"/>
        <w:ind w:left="218"/>
        <w:jc w:val="both"/>
        <w:rPr>
          <w:sz w:val="24"/>
          <w:szCs w:val="24"/>
        </w:rPr>
      </w:pPr>
      <w:r>
        <w:rPr>
          <w:sz w:val="24"/>
          <w:szCs w:val="24"/>
        </w:rPr>
        <w:t xml:space="preserve">a) Proibidos de participar de licitações e celebrar contratos administrativos, na forma da legislação vigente. </w:t>
      </w:r>
    </w:p>
    <w:p>
      <w:pPr>
        <w:pStyle w:val="Normal"/>
        <w:spacing w:lineRule="auto" w:line="240" w:before="0" w:after="0"/>
        <w:ind w:left="218"/>
        <w:jc w:val="both"/>
        <w:rPr>
          <w:sz w:val="24"/>
          <w:szCs w:val="24"/>
        </w:rPr>
      </w:pPr>
      <w:r>
        <w:rPr>
          <w:sz w:val="24"/>
          <w:szCs w:val="24"/>
        </w:rPr>
        <w:t xml:space="preserve">b) Que não atendam às condições deste Aviso e Termo de Referência; </w:t>
      </w:r>
    </w:p>
    <w:p>
      <w:pPr>
        <w:pStyle w:val="Normal"/>
        <w:spacing w:lineRule="auto" w:line="240" w:before="0" w:after="0"/>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sz w:val="24"/>
          <w:szCs w:val="24"/>
        </w:rPr>
      </w:pPr>
      <w:r>
        <w:rPr>
          <w:sz w:val="24"/>
          <w:szCs w:val="24"/>
        </w:rPr>
        <w:t xml:space="preserve">d) Que se enquadrem nas vedações previstas no artigo 14, da Lei Federal n° 14.133/21; </w:t>
      </w:r>
    </w:p>
    <w:p>
      <w:pPr>
        <w:pStyle w:val="Normal"/>
        <w:spacing w:lineRule="auto" w:line="240" w:before="0" w:after="0"/>
        <w:ind w:left="218"/>
        <w:jc w:val="both"/>
        <w:rPr>
          <w:sz w:val="24"/>
          <w:szCs w:val="24"/>
        </w:rPr>
      </w:pPr>
      <w:r>
        <w:rPr>
          <w:sz w:val="24"/>
          <w:szCs w:val="24"/>
        </w:rPr>
        <w:t>e) Estejam cumprindo penalidade de suspensão temporária imposta pela Administração Pública Municipal, ou, ainda, penalidade imposta por qualquer órgão da Administração Pública, nas hipóteses previstas nos incisos III e IV do art. 156 da Lei n° 14.133/21.</w:t>
      </w:r>
    </w:p>
    <w:p>
      <w:pPr>
        <w:pStyle w:val="ListParagraph"/>
        <w:spacing w:lineRule="auto" w:line="240" w:before="0" w:after="0"/>
        <w:ind w:left="218"/>
        <w:contextualSpacing/>
        <w:jc w:val="both"/>
        <w:rPr>
          <w:sz w:val="24"/>
          <w:szCs w:val="24"/>
        </w:rPr>
      </w:pPr>
      <w:r>
        <w:rPr>
          <w:sz w:val="24"/>
          <w:szCs w:val="24"/>
        </w:rPr>
      </w:r>
    </w:p>
    <w:p>
      <w:pPr>
        <w:pStyle w:val="ListParagraph"/>
        <w:numPr>
          <w:ilvl w:val="0"/>
          <w:numId w:val="1"/>
        </w:numPr>
        <w:spacing w:lineRule="auto" w:line="240" w:before="0" w:after="0"/>
        <w:contextualSpacing/>
        <w:jc w:val="both"/>
        <w:rPr>
          <w:b/>
          <w:sz w:val="24"/>
          <w:szCs w:val="24"/>
        </w:rPr>
      </w:pPr>
      <w:r>
        <w:rPr>
          <w:b/>
          <w:sz w:val="24"/>
          <w:szCs w:val="24"/>
        </w:rPr>
        <w:t>ESPECIFICAÇÕES DO OBJETO, DOTAÇÃO ORÇAMENTÁRIA, PRAZOS E LOCAL DE ENTREGA</w:t>
      </w:r>
    </w:p>
    <w:p>
      <w:pPr>
        <w:pStyle w:val="Normal"/>
        <w:spacing w:lineRule="auto" w:line="240" w:before="0" w:after="0"/>
        <w:ind w:left="218"/>
        <w:jc w:val="both"/>
        <w:rPr>
          <w:b/>
          <w:sz w:val="24"/>
          <w:szCs w:val="24"/>
        </w:rPr>
      </w:pPr>
      <w:r>
        <w:rPr>
          <w:b/>
          <w:sz w:val="24"/>
          <w:szCs w:val="24"/>
        </w:rPr>
      </w:r>
    </w:p>
    <w:p>
      <w:pPr>
        <w:pStyle w:val="Normal"/>
        <w:spacing w:lineRule="auto" w:line="240" w:before="0" w:after="0"/>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sz w:val="24"/>
          <w:szCs w:val="24"/>
        </w:rPr>
      </w:pPr>
      <w:r>
        <w:rPr>
          <w:sz w:val="24"/>
          <w:szCs w:val="24"/>
        </w:rPr>
        <w:t xml:space="preserve"> </w:t>
      </w:r>
    </w:p>
    <w:p>
      <w:pPr>
        <w:pStyle w:val="ListParagraph"/>
        <w:numPr>
          <w:ilvl w:val="0"/>
          <w:numId w:val="1"/>
        </w:numPr>
        <w:spacing w:lineRule="auto" w:line="240" w:before="0" w:after="0"/>
        <w:contextualSpacing/>
        <w:jc w:val="both"/>
        <w:rPr>
          <w:b/>
          <w:sz w:val="24"/>
          <w:szCs w:val="24"/>
        </w:rPr>
      </w:pPr>
      <w:r>
        <w:rPr>
          <w:b/>
          <w:sz w:val="24"/>
          <w:szCs w:val="24"/>
        </w:rPr>
        <w:t>PRAZO E FORMA PARA ENVIO DA PROPOSTA DE PREÇO</w:t>
      </w:r>
    </w:p>
    <w:p>
      <w:pPr>
        <w:pStyle w:val="Normal"/>
        <w:spacing w:lineRule="auto" w:line="240" w:before="0" w:after="0"/>
        <w:ind w:left="218"/>
        <w:jc w:val="both"/>
        <w:rPr>
          <w:b/>
          <w:sz w:val="24"/>
          <w:szCs w:val="24"/>
        </w:rPr>
      </w:pPr>
      <w:r>
        <w:rPr>
          <w:b/>
          <w:sz w:val="24"/>
          <w:szCs w:val="24"/>
        </w:rPr>
      </w:r>
    </w:p>
    <w:p>
      <w:pPr>
        <w:pStyle w:val="Normal"/>
        <w:spacing w:lineRule="auto" w:line="240" w:before="0" w:after="0"/>
        <w:ind w:left="218"/>
        <w:jc w:val="both"/>
        <w:rPr>
          <w:sz w:val="24"/>
          <w:szCs w:val="24"/>
        </w:rPr>
      </w:pPr>
      <w:r>
        <w:rPr>
          <w:sz w:val="24"/>
          <w:szCs w:val="24"/>
        </w:rPr>
        <w:t>5.1 A proposta de preços deverá ser encaminhada via e-mail, para o endereço eletrônico: jessica.tatiane@sjc.sp.gov.br</w:t>
      </w:r>
      <w:r>
        <w:rPr>
          <w:rStyle w:val="Hyperlink"/>
          <w:color w:themeColor="text1" w:val="000000"/>
          <w:sz w:val="24"/>
          <w:szCs w:val="24"/>
          <w:u w:val="none"/>
        </w:rPr>
        <w:t xml:space="preserve">, </w:t>
      </w:r>
      <w:r>
        <w:rPr>
          <w:color w:themeColor="text1" w:val="000000"/>
          <w:sz w:val="24"/>
          <w:szCs w:val="24"/>
        </w:rPr>
        <w:t>f</w:t>
      </w:r>
      <w:r>
        <w:rPr>
          <w:sz w:val="24"/>
          <w:szCs w:val="24"/>
        </w:rPr>
        <w:t>azendo referência no assunto do e-mail a DISPENSA DE LICITAÇÃO N° 1841/2026.</w:t>
      </w:r>
    </w:p>
    <w:p>
      <w:pPr>
        <w:pStyle w:val="Normal"/>
        <w:spacing w:lineRule="auto" w:line="240" w:before="0" w:after="0"/>
        <w:ind w:left="218"/>
        <w:jc w:val="both"/>
        <w:rPr>
          <w:b/>
          <w:sz w:val="24"/>
          <w:szCs w:val="24"/>
        </w:rPr>
      </w:pPr>
      <w:r>
        <w:rPr>
          <w:b/>
          <w:sz w:val="24"/>
          <w:szCs w:val="24"/>
        </w:rPr>
      </w:r>
    </w:p>
    <w:p>
      <w:pPr>
        <w:pStyle w:val="Normal"/>
        <w:spacing w:lineRule="auto" w:line="240" w:before="0" w:after="0"/>
        <w:jc w:val="both"/>
        <w:rPr>
          <w:sz w:val="24"/>
          <w:szCs w:val="24"/>
        </w:rPr>
      </w:pPr>
      <w:r>
        <w:rPr>
          <w:sz w:val="24"/>
          <w:szCs w:val="24"/>
        </w:rPr>
      </w:r>
    </w:p>
    <w:p>
      <w:pPr>
        <w:pStyle w:val="ListParagraph"/>
        <w:numPr>
          <w:ilvl w:val="0"/>
          <w:numId w:val="1"/>
        </w:numPr>
        <w:spacing w:lineRule="auto" w:line="240" w:before="0" w:after="0"/>
        <w:contextualSpacing/>
        <w:jc w:val="both"/>
        <w:rPr>
          <w:b/>
          <w:sz w:val="24"/>
          <w:szCs w:val="24"/>
        </w:rPr>
      </w:pPr>
      <w:r>
        <w:rPr>
          <w:b/>
          <w:sz w:val="24"/>
          <w:szCs w:val="24"/>
        </w:rPr>
        <w:t>PROPOSTA DE PREÇO</w:t>
      </w:r>
    </w:p>
    <w:p>
      <w:pPr>
        <w:pStyle w:val="Normal"/>
        <w:spacing w:lineRule="auto" w:line="240" w:before="0" w:after="0"/>
        <w:ind w:left="218"/>
        <w:jc w:val="both"/>
        <w:rPr>
          <w:b/>
          <w:sz w:val="24"/>
          <w:szCs w:val="24"/>
        </w:rPr>
      </w:pPr>
      <w:r>
        <w:rPr>
          <w:b/>
          <w:sz w:val="24"/>
          <w:szCs w:val="24"/>
        </w:rPr>
      </w:r>
    </w:p>
    <w:p>
      <w:pPr>
        <w:pStyle w:val="Normal"/>
        <w:spacing w:lineRule="auto" w:line="240" w:before="0" w:after="0"/>
        <w:ind w:left="218"/>
        <w:jc w:val="both"/>
        <w:rPr>
          <w:sz w:val="24"/>
          <w:szCs w:val="24"/>
        </w:rPr>
      </w:pPr>
      <w:r>
        <w:rPr>
          <w:sz w:val="24"/>
          <w:szCs w:val="24"/>
        </w:rPr>
        <w:t>6.1 A proposta de preço deverá ser apresentada, conforme modelo constante do Anexo I, na forma, prazo e condições estipulados neste Aviso e seus anexos.</w:t>
      </w:r>
    </w:p>
    <w:p>
      <w:pPr>
        <w:pStyle w:val="Normal"/>
        <w:spacing w:lineRule="auto" w:line="240" w:before="0" w:after="0"/>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sz w:val="24"/>
          <w:szCs w:val="24"/>
        </w:rPr>
      </w:pPr>
      <w:r>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sz w:val="24"/>
          <w:szCs w:val="24"/>
        </w:rPr>
      </w:pPr>
      <w:r>
        <w:rPr>
          <w:sz w:val="24"/>
          <w:szCs w:val="24"/>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rPr>
      </w:pPr>
      <w:r>
        <w:rPr>
          <w:sz w:val="24"/>
          <w:szCs w:val="24"/>
        </w:rPr>
      </w:r>
    </w:p>
    <w:p>
      <w:pPr>
        <w:pStyle w:val="ListParagraph"/>
        <w:spacing w:lineRule="auto" w:line="240" w:before="0" w:after="0"/>
        <w:ind w:left="218"/>
        <w:contextualSpacing/>
        <w:jc w:val="both"/>
        <w:rPr>
          <w:b/>
          <w:sz w:val="24"/>
          <w:szCs w:val="24"/>
        </w:rPr>
      </w:pPr>
      <w:r>
        <w:rPr>
          <w:b/>
          <w:sz w:val="24"/>
          <w:szCs w:val="24"/>
        </w:rPr>
        <w:t xml:space="preserve">7. CRITÉRIO DE JULGAMENTO </w:t>
      </w:r>
    </w:p>
    <w:p>
      <w:pPr>
        <w:pStyle w:val="ListParagraph"/>
        <w:spacing w:lineRule="auto" w:line="240" w:before="0" w:after="0"/>
        <w:ind w:left="218"/>
        <w:contextualSpacing/>
        <w:jc w:val="both"/>
        <w:rPr>
          <w:b/>
          <w:sz w:val="24"/>
          <w:szCs w:val="24"/>
        </w:rPr>
      </w:pPr>
      <w:r>
        <w:rPr>
          <w:b/>
          <w:sz w:val="24"/>
          <w:szCs w:val="24"/>
        </w:rPr>
      </w:r>
    </w:p>
    <w:p>
      <w:pPr>
        <w:pStyle w:val="ListParagraph"/>
        <w:spacing w:lineRule="auto" w:line="240" w:before="0" w:after="0"/>
        <w:ind w:left="218"/>
        <w:contextualSpacing/>
        <w:jc w:val="both"/>
        <w:rPr>
          <w:sz w:val="24"/>
          <w:szCs w:val="24"/>
          <w:u w:val="single"/>
        </w:rPr>
      </w:pPr>
      <w:r>
        <w:rPr>
          <w:sz w:val="24"/>
          <w:szCs w:val="24"/>
          <w:u w:val="single"/>
        </w:rPr>
        <w:t xml:space="preserve">7.1 PROPOSTAS DE PREÇOS </w:t>
      </w:r>
    </w:p>
    <w:p>
      <w:pPr>
        <w:pStyle w:val="ListParagraph"/>
        <w:spacing w:lineRule="auto" w:line="240" w:before="0" w:after="0"/>
        <w:ind w:left="218"/>
        <w:contextualSpacing/>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pPr>
        <w:pStyle w:val="ListParagraph"/>
        <w:spacing w:lineRule="auto" w:line="240" w:before="0" w:after="0"/>
        <w:ind w:left="218"/>
        <w:contextualSpacing/>
        <w:jc w:val="both"/>
        <w:rPr>
          <w:sz w:val="24"/>
          <w:szCs w:val="24"/>
        </w:rPr>
      </w:pPr>
      <w:r>
        <w:rPr>
          <w:sz w:val="24"/>
          <w:szCs w:val="24"/>
        </w:rPr>
      </w:r>
    </w:p>
    <w:p>
      <w:pPr>
        <w:pStyle w:val="ListParagraph"/>
        <w:spacing w:lineRule="auto" w:line="240" w:before="0" w:after="0"/>
        <w:ind w:left="218"/>
        <w:contextualSpacing/>
        <w:jc w:val="both"/>
        <w:rPr>
          <w:sz w:val="24"/>
          <w:szCs w:val="24"/>
        </w:rPr>
      </w:pPr>
      <w:r>
        <w:rPr>
          <w:sz w:val="24"/>
          <w:szCs w:val="24"/>
        </w:rPr>
      </w:r>
    </w:p>
    <w:p>
      <w:pPr>
        <w:pStyle w:val="Normal"/>
        <w:spacing w:lineRule="auto" w:line="240" w:before="0" w:after="0"/>
        <w:ind w:firstLine="218"/>
        <w:jc w:val="both"/>
        <w:rPr>
          <w:b/>
          <w:sz w:val="24"/>
          <w:szCs w:val="24"/>
        </w:rPr>
      </w:pPr>
      <w:r>
        <w:rPr>
          <w:b/>
          <w:sz w:val="24"/>
          <w:szCs w:val="24"/>
        </w:rPr>
        <w:t>8. HABILITAÇÃO</w:t>
      </w:r>
    </w:p>
    <w:p>
      <w:pPr>
        <w:pStyle w:val="Normal"/>
        <w:spacing w:lineRule="auto" w:line="240" w:before="0" w:after="0"/>
        <w:jc w:val="both"/>
        <w:rPr>
          <w:b/>
          <w:sz w:val="24"/>
          <w:szCs w:val="24"/>
        </w:rPr>
      </w:pPr>
      <w:r>
        <w:rPr>
          <w:b/>
          <w:sz w:val="24"/>
          <w:szCs w:val="24"/>
        </w:rPr>
      </w:r>
    </w:p>
    <w:p>
      <w:pPr>
        <w:pStyle w:val="ListParagraph"/>
        <w:spacing w:lineRule="auto" w:line="240" w:before="0" w:after="0"/>
        <w:ind w:left="218"/>
        <w:contextualSpacing/>
        <w:jc w:val="both"/>
        <w:rPr>
          <w:sz w:val="24"/>
          <w:szCs w:val="24"/>
        </w:rPr>
      </w:pPr>
      <w:r>
        <w:rPr>
          <w:sz w:val="24"/>
          <w:szCs w:val="24"/>
        </w:rPr>
        <w:t>8.1 A empresa declarada vencedora será comunicada para apresentar os documentos de Habilitação em até 03 (três) dias úteis.</w:t>
      </w:r>
    </w:p>
    <w:p>
      <w:pPr>
        <w:pStyle w:val="Normal"/>
        <w:spacing w:lineRule="auto" w:line="240" w:before="0" w:after="0"/>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sua natureza não contenham validade.</w:t>
      </w:r>
    </w:p>
    <w:p>
      <w:pPr>
        <w:pStyle w:val="Normal"/>
        <w:spacing w:lineRule="auto" w:line="240" w:before="0" w:after="0"/>
        <w:ind w:firstLine="218"/>
        <w:jc w:val="both"/>
        <w:rPr>
          <w:sz w:val="24"/>
          <w:szCs w:val="24"/>
        </w:rPr>
      </w:pPr>
      <w:r>
        <w:rPr>
          <w:sz w:val="24"/>
          <w:szCs w:val="24"/>
        </w:rPr>
        <w:t xml:space="preserve">8.3 Antes da formalização a Administração deverá também consultar: </w:t>
      </w:r>
    </w:p>
    <w:p>
      <w:pPr>
        <w:pStyle w:val="Normal"/>
        <w:spacing w:lineRule="auto" w:line="240" w:before="0" w:after="0"/>
        <w:ind w:left="284"/>
        <w:jc w:val="both"/>
        <w:rPr>
          <w:sz w:val="24"/>
          <w:szCs w:val="24"/>
        </w:rPr>
      </w:pPr>
      <w:r>
        <w:rPr>
          <w:sz w:val="24"/>
          <w:szCs w:val="24"/>
        </w:rPr>
        <w:t>I - Cadastro Nacional de Empresas Inidôneas e Suspensas - CEIS, mantido pela Controladoria-Geral da União (</w:t>
      </w:r>
      <w:hyperlink r:id="rId2">
        <w:r>
          <w:rPr>
            <w:rStyle w:val="Hyperlink"/>
            <w:sz w:val="24"/>
            <w:szCs w:val="24"/>
          </w:rPr>
          <w:t>www.portaldatransparencia.gov.br/ceis</w:t>
        </w:r>
      </w:hyperlink>
      <w:r>
        <w:rPr>
          <w:sz w:val="24"/>
          <w:szCs w:val="24"/>
        </w:rPr>
        <w:t xml:space="preserve">); </w:t>
      </w:r>
    </w:p>
    <w:p>
      <w:pPr>
        <w:pStyle w:val="Normal"/>
        <w:spacing w:lineRule="auto" w:line="240" w:before="0" w:after="0"/>
        <w:ind w:left="284"/>
        <w:jc w:val="both"/>
        <w:rPr>
          <w:sz w:val="24"/>
          <w:szCs w:val="24"/>
        </w:rPr>
      </w:pPr>
      <w:r>
        <w:rPr>
          <w:sz w:val="24"/>
          <w:szCs w:val="24"/>
        </w:rPr>
        <w:t xml:space="preserve">II - Cadastro Nacional de Empresas Punidas- CNEP (art. 91, § 4º, da Lei Federal n. 14.133, de 2021); </w:t>
      </w:r>
    </w:p>
    <w:p>
      <w:pPr>
        <w:pStyle w:val="Normal"/>
        <w:spacing w:lineRule="auto" w:line="240" w:before="0" w:after="0"/>
        <w:ind w:left="284"/>
        <w:jc w:val="both"/>
        <w:rPr>
          <w:sz w:val="24"/>
          <w:szCs w:val="24"/>
        </w:rPr>
      </w:pPr>
      <w:r>
        <w:rPr>
          <w:sz w:val="24"/>
          <w:szCs w:val="24"/>
        </w:rPr>
        <w:t xml:space="preserve">III - Lista consolidada de Inabilitados e Inidôneos, mantida pelo Tribunal de Contas da União- TCU; </w:t>
      </w:r>
    </w:p>
    <w:p>
      <w:pPr>
        <w:pStyle w:val="Normal"/>
        <w:spacing w:lineRule="auto" w:line="240" w:before="0" w:after="0"/>
        <w:ind w:left="284"/>
        <w:jc w:val="both"/>
        <w:rPr>
          <w:sz w:val="24"/>
          <w:szCs w:val="24"/>
        </w:rPr>
      </w:pPr>
      <w:r>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rPr>
      </w:pPr>
      <w:r>
        <w:rPr>
          <w:sz w:val="24"/>
          <w:szCs w:val="24"/>
        </w:rPr>
      </w:r>
    </w:p>
    <w:p>
      <w:pPr>
        <w:pStyle w:val="ListParagraph"/>
        <w:spacing w:lineRule="auto" w:line="240" w:before="0" w:after="0"/>
        <w:ind w:left="218"/>
        <w:contextualSpacing/>
        <w:jc w:val="both"/>
        <w:rPr>
          <w:b/>
          <w:sz w:val="24"/>
          <w:szCs w:val="24"/>
        </w:rPr>
      </w:pPr>
      <w:r>
        <w:rPr>
          <w:b/>
          <w:sz w:val="24"/>
          <w:szCs w:val="24"/>
        </w:rPr>
        <w:t xml:space="preserve">9. PENALIDADES E SANÇÕES </w:t>
      </w:r>
    </w:p>
    <w:p>
      <w:pPr>
        <w:pStyle w:val="ListParagraph"/>
        <w:spacing w:lineRule="auto" w:line="240" w:before="0" w:after="0"/>
        <w:ind w:left="218"/>
        <w:contextualSpacing/>
        <w:jc w:val="both"/>
        <w:rPr>
          <w:sz w:val="24"/>
          <w:szCs w:val="24"/>
        </w:rPr>
      </w:pPr>
      <w:r>
        <w:rPr>
          <w:sz w:val="24"/>
          <w:szCs w:val="24"/>
        </w:rPr>
      </w:r>
    </w:p>
    <w:p>
      <w:pPr>
        <w:pStyle w:val="Normal"/>
        <w:spacing w:lineRule="auto" w:line="240" w:before="0" w:after="0"/>
        <w:ind w:left="284"/>
        <w:jc w:val="both"/>
        <w:rPr>
          <w:sz w:val="24"/>
          <w:szCs w:val="24"/>
        </w:rPr>
      </w:pPr>
      <w:r>
        <w:rPr>
          <w:rFonts w:cs="Calibri"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pPr>
        <w:pStyle w:val="Normal"/>
        <w:spacing w:lineRule="auto" w:line="240" w:before="0" w:after="0"/>
        <w:ind w:left="284"/>
        <w:jc w:val="both"/>
        <w:rPr>
          <w:sz w:val="24"/>
          <w:szCs w:val="24"/>
        </w:rPr>
      </w:pPr>
      <w:r>
        <w:rPr>
          <w:sz w:val="24"/>
          <w:szCs w:val="24"/>
        </w:rPr>
        <w:t xml:space="preserve">A. Advertência - quando não se justificar a imposição de penalidade mais grave, sendo aplicada quando: </w:t>
      </w:r>
    </w:p>
    <w:p>
      <w:pPr>
        <w:pStyle w:val="Normal"/>
        <w:spacing w:lineRule="auto" w:line="240" w:before="0" w:after="0"/>
        <w:ind w:firstLine="424" w:left="284"/>
        <w:jc w:val="both"/>
        <w:rPr>
          <w:sz w:val="24"/>
          <w:szCs w:val="24"/>
        </w:rPr>
      </w:pPr>
      <w:r>
        <w:rPr>
          <w:sz w:val="24"/>
          <w:szCs w:val="24"/>
        </w:rPr>
        <w:t xml:space="preserve">A1 - dar causa à inexecução parcial do contrato. </w:t>
      </w:r>
    </w:p>
    <w:p>
      <w:pPr>
        <w:pStyle w:val="Normal"/>
        <w:spacing w:lineRule="auto" w:line="240" w:before="0" w:after="0"/>
        <w:ind w:left="284"/>
        <w:jc w:val="both"/>
        <w:rPr>
          <w:sz w:val="24"/>
          <w:szCs w:val="24"/>
        </w:rPr>
      </w:pPr>
      <w:r>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pPr>
        <w:pStyle w:val="Normal"/>
        <w:spacing w:lineRule="auto" w:line="240" w:before="0" w:after="0"/>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left="284"/>
        <w:jc w:val="both"/>
        <w:rPr>
          <w:sz w:val="24"/>
          <w:szCs w:val="24"/>
        </w:rPr>
      </w:pPr>
      <w:r>
        <w:rPr>
          <w:sz w:val="24"/>
          <w:szCs w:val="24"/>
        </w:rPr>
      </w:r>
    </w:p>
    <w:p>
      <w:pPr>
        <w:pStyle w:val="Normal"/>
        <w:spacing w:lineRule="auto" w:line="240" w:before="0" w:after="0"/>
        <w:ind w:firstLine="424" w:left="284"/>
        <w:jc w:val="both"/>
        <w:rPr>
          <w:sz w:val="24"/>
          <w:szCs w:val="24"/>
        </w:rPr>
      </w:pPr>
      <w:r>
        <w:rPr>
          <w:sz w:val="24"/>
          <w:szCs w:val="24"/>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sz w:val="24"/>
          <w:szCs w:val="24"/>
        </w:rPr>
      </w:pPr>
      <w:r>
        <w:rPr>
          <w:sz w:val="24"/>
          <w:szCs w:val="24"/>
        </w:rPr>
        <w:t xml:space="preserve">C2 - dar causa à inexecução total do contrato; </w:t>
      </w:r>
    </w:p>
    <w:p>
      <w:pPr>
        <w:pStyle w:val="Normal"/>
        <w:spacing w:lineRule="auto" w:line="240" w:before="0" w:after="0"/>
        <w:ind w:firstLine="424" w:left="284"/>
        <w:jc w:val="both"/>
        <w:rPr>
          <w:sz w:val="24"/>
          <w:szCs w:val="24"/>
        </w:rPr>
      </w:pPr>
      <w:r>
        <w:rPr>
          <w:sz w:val="24"/>
          <w:szCs w:val="24"/>
        </w:rPr>
        <w:t xml:space="preserve">C3 - deixar de entregar a documentação exigida para o certame; </w:t>
      </w:r>
    </w:p>
    <w:p>
      <w:pPr>
        <w:pStyle w:val="Normal"/>
        <w:spacing w:lineRule="auto" w:line="240" w:before="0" w:after="0"/>
        <w:ind w:firstLine="424" w:left="284"/>
        <w:jc w:val="both"/>
        <w:rPr>
          <w:sz w:val="24"/>
          <w:szCs w:val="24"/>
        </w:rPr>
      </w:pPr>
      <w:r>
        <w:rPr>
          <w:sz w:val="24"/>
          <w:szCs w:val="24"/>
        </w:rPr>
        <w:t xml:space="preserve">C4 - não manter a proposta, salvo em decorrência de fato superveniente devidamente justificado; </w:t>
      </w:r>
    </w:p>
    <w:p>
      <w:pPr>
        <w:pStyle w:val="Normal"/>
        <w:spacing w:lineRule="auto" w:line="240" w:before="0" w:after="0"/>
        <w:ind w:firstLine="424" w:left="284"/>
        <w:jc w:val="both"/>
        <w:rPr>
          <w:sz w:val="24"/>
          <w:szCs w:val="24"/>
        </w:rPr>
      </w:pPr>
      <w:r>
        <w:rPr>
          <w:sz w:val="24"/>
          <w:szCs w:val="24"/>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sz w:val="24"/>
          <w:szCs w:val="24"/>
        </w:rPr>
      </w:pPr>
      <w:r>
        <w:rPr>
          <w:sz w:val="24"/>
          <w:szCs w:val="24"/>
        </w:rPr>
        <w:t xml:space="preserve">C6 - ensejar o retardamento da execução ou da entrega do objeto da licitação sem motivo justificado. </w:t>
      </w:r>
    </w:p>
    <w:p>
      <w:pPr>
        <w:pStyle w:val="Normal"/>
        <w:spacing w:lineRule="auto" w:line="240" w:before="0" w:after="0"/>
        <w:ind w:left="284"/>
        <w:jc w:val="both"/>
        <w:rPr>
          <w:sz w:val="24"/>
          <w:szCs w:val="24"/>
        </w:rPr>
      </w:pPr>
      <w:r>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sz w:val="24"/>
          <w:szCs w:val="24"/>
        </w:rPr>
      </w:pPr>
      <w:r>
        <w:rPr>
          <w:sz w:val="24"/>
          <w:szCs w:val="24"/>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sz w:val="24"/>
          <w:szCs w:val="24"/>
        </w:rPr>
      </w:pPr>
      <w:r>
        <w:rPr>
          <w:sz w:val="24"/>
          <w:szCs w:val="24"/>
        </w:rPr>
        <w:t xml:space="preserve">D2 -fraudar a licitação ou praticar ato fraudulento na execução do contrato; </w:t>
      </w:r>
    </w:p>
    <w:p>
      <w:pPr>
        <w:pStyle w:val="Normal"/>
        <w:spacing w:lineRule="auto" w:line="240" w:before="0" w:after="0"/>
        <w:ind w:firstLine="424" w:left="284"/>
        <w:jc w:val="both"/>
        <w:rPr>
          <w:sz w:val="24"/>
          <w:szCs w:val="24"/>
        </w:rPr>
      </w:pPr>
      <w:r>
        <w:rPr>
          <w:sz w:val="24"/>
          <w:szCs w:val="24"/>
        </w:rPr>
        <w:t xml:space="preserve">D3 -comportar-se de modo inidôneo ou cometer fraude de qualquer natureza; </w:t>
      </w:r>
    </w:p>
    <w:p>
      <w:pPr>
        <w:pStyle w:val="Normal"/>
        <w:spacing w:lineRule="auto" w:line="240" w:before="0" w:after="0"/>
        <w:ind w:firstLine="424" w:left="284"/>
        <w:jc w:val="both"/>
        <w:rPr>
          <w:sz w:val="24"/>
          <w:szCs w:val="24"/>
        </w:rPr>
      </w:pPr>
      <w:r>
        <w:rPr>
          <w:sz w:val="24"/>
          <w:szCs w:val="24"/>
        </w:rPr>
        <w:t xml:space="preserve">D4 -praticar atos ilícitos com vistas a frustrar os objetivos da licitação; </w:t>
      </w:r>
    </w:p>
    <w:p>
      <w:pPr>
        <w:pStyle w:val="Normal"/>
        <w:spacing w:lineRule="auto" w:line="240" w:before="0" w:after="0"/>
        <w:ind w:firstLine="424" w:left="284"/>
        <w:jc w:val="both"/>
        <w:rPr>
          <w:sz w:val="24"/>
          <w:szCs w:val="24"/>
        </w:rPr>
      </w:pPr>
      <w:r>
        <w:rPr>
          <w:sz w:val="24"/>
          <w:szCs w:val="24"/>
        </w:rPr>
        <w:t xml:space="preserve">D5 - praticar ato lesivo previsto no art. 5º da Lei Federal nº 12.846, de 1º de agosto de 2013. </w:t>
      </w:r>
    </w:p>
    <w:p>
      <w:pPr>
        <w:pStyle w:val="Normal"/>
        <w:spacing w:lineRule="auto" w:line="240" w:before="0" w:after="0"/>
        <w:ind w:left="284"/>
        <w:jc w:val="both"/>
        <w:rPr>
          <w:sz w:val="24"/>
          <w:szCs w:val="24"/>
        </w:rPr>
      </w:pPr>
      <w:r>
        <w:rPr>
          <w:sz w:val="24"/>
          <w:szCs w:val="24"/>
        </w:rPr>
        <w:t xml:space="preserve">9.2. As sanções previstas nas letras A,C e D poderão ser aplicadas cumulativamente com a prevista na letra B. </w:t>
      </w:r>
    </w:p>
    <w:p>
      <w:pPr>
        <w:pStyle w:val="Normal"/>
        <w:spacing w:lineRule="auto" w:line="240" w:before="0" w:after="0"/>
        <w:ind w:left="284"/>
        <w:jc w:val="both"/>
        <w:rPr>
          <w:sz w:val="24"/>
          <w:szCs w:val="24"/>
        </w:rPr>
      </w:pPr>
      <w:r>
        <w:rPr>
          <w:sz w:val="24"/>
          <w:szCs w:val="24"/>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sz w:val="24"/>
          <w:szCs w:val="24"/>
        </w:rPr>
      </w:pPr>
      <w:r>
        <w:rPr>
          <w:sz w:val="24"/>
          <w:szCs w:val="24"/>
        </w:rPr>
        <w:t>9.4. O atraso injustificado na execução do contrato sujeitará o contratado a multa de mora, na forma prevista em edital ou em contrato.</w:t>
      </w:r>
    </w:p>
    <w:p>
      <w:pPr>
        <w:pStyle w:val="Normal"/>
        <w:spacing w:lineRule="auto" w:line="240" w:before="0" w:after="0"/>
        <w:ind w:left="284"/>
        <w:jc w:val="both"/>
        <w:rPr>
          <w:sz w:val="24"/>
          <w:szCs w:val="24"/>
        </w:rPr>
      </w:pPr>
      <w:r>
        <w:rPr>
          <w:sz w:val="24"/>
          <w:szCs w:val="24"/>
        </w:rPr>
        <w:t xml:space="preserve"> </w:t>
      </w:r>
      <w:r>
        <w:rPr>
          <w:sz w:val="24"/>
          <w:szCs w:val="24"/>
        </w:rPr>
        <w:t>9.5. A aplicação de multa de mora não impedirá que a Administração a converta em compensatória e promova a extinção unilateral do contrato com a aplicação cumulada de outras sanções previstas nas letras A,B,C.</w:t>
      </w:r>
    </w:p>
    <w:p>
      <w:pPr>
        <w:pStyle w:val="Normal"/>
        <w:spacing w:lineRule="auto" w:line="240" w:before="0" w:after="0"/>
        <w:ind w:left="284"/>
        <w:jc w:val="both"/>
        <w:rPr>
          <w:b/>
          <w:sz w:val="24"/>
          <w:szCs w:val="24"/>
        </w:rPr>
      </w:pPr>
      <w:r>
        <w:rPr>
          <w:b/>
          <w:sz w:val="24"/>
          <w:szCs w:val="24"/>
        </w:rPr>
      </w:r>
    </w:p>
    <w:p>
      <w:pPr>
        <w:pStyle w:val="ListParagraph"/>
        <w:spacing w:lineRule="auto" w:line="240" w:before="0" w:after="0"/>
        <w:ind w:left="218"/>
        <w:contextualSpacing/>
        <w:jc w:val="both"/>
        <w:rPr>
          <w:b/>
          <w:sz w:val="24"/>
          <w:szCs w:val="24"/>
        </w:rPr>
      </w:pPr>
      <w:r>
        <w:rPr>
          <w:b/>
          <w:sz w:val="24"/>
          <w:szCs w:val="24"/>
        </w:rPr>
        <w:t xml:space="preserve">10. DISPOSIÇÕES GERAIS </w:t>
      </w:r>
    </w:p>
    <w:p>
      <w:pPr>
        <w:pStyle w:val="ListParagraph"/>
        <w:spacing w:lineRule="auto" w:line="240" w:before="0" w:after="0"/>
        <w:ind w:left="218"/>
        <w:contextualSpacing/>
        <w:jc w:val="both"/>
        <w:rPr>
          <w:b/>
          <w:sz w:val="24"/>
          <w:szCs w:val="24"/>
        </w:rPr>
      </w:pPr>
      <w:r>
        <w:rPr>
          <w:b/>
          <w:sz w:val="24"/>
          <w:szCs w:val="24"/>
        </w:rPr>
      </w:r>
    </w:p>
    <w:p>
      <w:pPr>
        <w:pStyle w:val="ListParagraph"/>
        <w:spacing w:lineRule="auto" w:line="240" w:beforeAutospacing="1" w:after="0"/>
        <w:ind w:left="215"/>
        <w:contextualSpacing/>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sz w:val="24"/>
          <w:szCs w:val="24"/>
        </w:rPr>
      </w:pPr>
      <w:r>
        <w:rPr>
          <w:sz w:val="24"/>
          <w:szCs w:val="24"/>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sz w:val="24"/>
          <w:szCs w:val="24"/>
        </w:rPr>
      </w:pPr>
      <w:r>
        <w:rPr>
          <w:sz w:val="24"/>
          <w:szCs w:val="24"/>
        </w:rPr>
        <w:t>10.3 O presente Aviso poderá ser anulado, no todo em parte, caso ocorra ilegalidade, de oficio ou por provocação. A anulação do procedimento oriundo deste Aviso, não gera direito a indenização.</w:t>
      </w:r>
    </w:p>
    <w:p>
      <w:pPr>
        <w:pStyle w:val="ListParagraph"/>
        <w:spacing w:lineRule="auto" w:line="240" w:beforeAutospacing="1" w:after="0"/>
        <w:ind w:left="215"/>
        <w:contextualSpacing/>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sz w:val="24"/>
          <w:szCs w:val="24"/>
        </w:rPr>
      </w:pPr>
      <w:r>
        <w:rPr>
          <w:sz w:val="24"/>
          <w:szCs w:val="24"/>
        </w:rPr>
      </w:r>
    </w:p>
    <w:p>
      <w:pPr>
        <w:pStyle w:val="ListParagraph"/>
        <w:spacing w:lineRule="auto" w:line="240" w:beforeAutospacing="1" w:after="0"/>
        <w:ind w:left="215"/>
        <w:contextualSpacing/>
        <w:jc w:val="both"/>
        <w:rPr>
          <w:sz w:val="24"/>
          <w:szCs w:val="24"/>
        </w:rPr>
      </w:pPr>
      <w:r>
        <w:rPr>
          <w:sz w:val="24"/>
          <w:szCs w:val="24"/>
        </w:rPr>
      </w:r>
    </w:p>
    <w:p>
      <w:pPr>
        <w:pStyle w:val="ListParagraph"/>
        <w:spacing w:lineRule="auto" w:line="240" w:beforeAutospacing="1" w:after="0"/>
        <w:ind w:left="215"/>
        <w:contextualSpacing/>
        <w:jc w:val="both"/>
        <w:rPr>
          <w:sz w:val="24"/>
          <w:szCs w:val="24"/>
        </w:rPr>
      </w:pPr>
      <w:r>
        <w:rPr>
          <w:sz w:val="24"/>
          <w:szCs w:val="24"/>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sz w:val="24"/>
          <w:szCs w:val="24"/>
        </w:rPr>
      </w:pPr>
      <w:r>
        <w:rPr>
          <w:sz w:val="24"/>
          <w:szCs w:val="24"/>
        </w:rPr>
        <w:t xml:space="preserve">a) Os prazos expressos em dias corridos serão computados de modo contínuo; </w:t>
      </w:r>
    </w:p>
    <w:p>
      <w:pPr>
        <w:pStyle w:val="ListParagraph"/>
        <w:spacing w:lineRule="auto" w:line="240" w:beforeAutospacing="1" w:after="0"/>
        <w:ind w:left="215"/>
        <w:contextualSpacing/>
        <w:jc w:val="both"/>
        <w:rPr>
          <w:sz w:val="24"/>
          <w:szCs w:val="24"/>
        </w:rPr>
      </w:pPr>
      <w:r>
        <w:rPr>
          <w:sz w:val="24"/>
          <w:szCs w:val="24"/>
        </w:rPr>
        <w:t xml:space="preserve">b) Os prazos expressos em meses ou anos serão computados de data a data; </w:t>
      </w:r>
    </w:p>
    <w:p>
      <w:pPr>
        <w:pStyle w:val="ListParagraph"/>
        <w:spacing w:lineRule="auto" w:line="240" w:beforeAutospacing="1" w:after="0"/>
        <w:ind w:left="215"/>
        <w:contextualSpacing/>
        <w:jc w:val="both"/>
        <w:rPr>
          <w:sz w:val="24"/>
          <w:szCs w:val="24"/>
        </w:rPr>
      </w:pPr>
      <w:r>
        <w:rPr>
          <w:sz w:val="24"/>
          <w:szCs w:val="24"/>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sz w:val="24"/>
          <w:szCs w:val="24"/>
        </w:rPr>
      </w:pPr>
      <w:r>
        <w:rPr>
          <w:sz w:val="24"/>
          <w:szCs w:val="24"/>
        </w:rPr>
        <w:t xml:space="preserve">10.8.1 Salvo disposição em contrário, considera-se dia do começo do prazo: </w:t>
      </w:r>
    </w:p>
    <w:p>
      <w:pPr>
        <w:pStyle w:val="ListParagraph"/>
        <w:spacing w:lineRule="auto" w:line="240" w:beforeAutospacing="1" w:after="0"/>
        <w:ind w:left="215"/>
        <w:contextualSpacing/>
        <w:jc w:val="both"/>
        <w:rPr>
          <w:sz w:val="24"/>
          <w:szCs w:val="24"/>
        </w:rPr>
      </w:pPr>
      <w:r>
        <w:rPr>
          <w:sz w:val="24"/>
          <w:szCs w:val="24"/>
        </w:rPr>
        <w:t xml:space="preserve">a) O primeiro dia útil seguinte ao da disponibilização da informação na internet. </w:t>
      </w:r>
    </w:p>
    <w:p>
      <w:pPr>
        <w:pStyle w:val="ListParagraph"/>
        <w:spacing w:lineRule="auto" w:line="240" w:before="0" w:after="0"/>
        <w:ind w:left="218"/>
        <w:contextualSpacing/>
        <w:jc w:val="both"/>
        <w:rPr>
          <w:sz w:val="24"/>
          <w:szCs w:val="24"/>
        </w:rPr>
      </w:pPr>
      <w:r>
        <w:rPr>
          <w:sz w:val="24"/>
          <w:szCs w:val="24"/>
        </w:rPr>
      </w:r>
    </w:p>
    <w:p>
      <w:pPr>
        <w:pStyle w:val="ListParagraph"/>
        <w:spacing w:lineRule="auto" w:line="240" w:before="0" w:after="0"/>
        <w:ind w:left="218"/>
        <w:contextualSpacing/>
        <w:jc w:val="both"/>
        <w:rPr>
          <w:sz w:val="24"/>
          <w:szCs w:val="24"/>
        </w:rPr>
      </w:pPr>
      <w:r>
        <w:rPr>
          <w:sz w:val="24"/>
          <w:szCs w:val="24"/>
        </w:rPr>
      </w:r>
    </w:p>
    <w:p>
      <w:pPr>
        <w:pStyle w:val="ListParagraph"/>
        <w:spacing w:lineRule="auto" w:line="240" w:before="0" w:after="0"/>
        <w:ind w:left="218"/>
        <w:contextualSpacing/>
        <w:jc w:val="right"/>
        <w:rPr>
          <w:sz w:val="24"/>
          <w:szCs w:val="24"/>
        </w:rPr>
      </w:pPr>
      <w:r>
        <w:rPr>
          <w:sz w:val="24"/>
          <w:szCs w:val="24"/>
        </w:rPr>
        <w:t xml:space="preserve">São José dos Campos, 15 de setembro de 2026. </w:t>
      </w:r>
    </w:p>
    <w:p>
      <w:pPr>
        <w:pStyle w:val="Normal"/>
        <w:spacing w:lineRule="auto" w:line="240" w:before="0" w:after="0"/>
        <w:ind w:left="-142"/>
        <w:jc w:val="right"/>
        <w:rPr>
          <w:sz w:val="24"/>
          <w:szCs w:val="24"/>
        </w:rPr>
      </w:pPr>
      <w:r>
        <w:rPr>
          <w:sz w:val="24"/>
          <w:szCs w:val="24"/>
        </w:rPr>
      </w:r>
    </w:p>
    <w:p>
      <w:pPr>
        <w:pStyle w:val="Normal"/>
        <w:spacing w:lineRule="auto" w:line="240" w:before="0" w:after="0"/>
        <w:ind w:left="-142"/>
        <w:jc w:val="right"/>
        <w:rPr>
          <w:sz w:val="24"/>
          <w:szCs w:val="24"/>
        </w:rPr>
      </w:pPr>
      <w:r>
        <w:rPr>
          <w:sz w:val="24"/>
          <w:szCs w:val="24"/>
        </w:rPr>
      </w:r>
    </w:p>
    <w:p>
      <w:pPr>
        <w:pStyle w:val="Normal"/>
        <w:spacing w:lineRule="auto" w:line="240" w:before="0" w:after="0"/>
        <w:ind w:left="-142"/>
        <w:jc w:val="right"/>
        <w:rPr>
          <w:sz w:val="24"/>
          <w:szCs w:val="24"/>
        </w:rPr>
      </w:pPr>
      <w:r>
        <w:rPr>
          <w:sz w:val="24"/>
          <w:szCs w:val="24"/>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r>
        <w:br w:type="page"/>
      </w:r>
    </w:p>
    <w:p>
      <w:pPr>
        <w:pStyle w:val="Normal"/>
        <w:spacing w:lineRule="auto" w:line="240" w:before="0" w:after="0"/>
        <w:ind w:left="-142"/>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jc w:val="center"/>
        <w:rPr>
          <w:rFonts w:cs="Times New Roman"/>
          <w:b/>
          <w:sz w:val="20"/>
          <w:szCs w:val="20"/>
        </w:rPr>
      </w:pPr>
      <w:r>
        <w:rPr>
          <w:rFonts w:cs="Times New Roman"/>
          <w:b/>
          <w:sz w:val="20"/>
          <w:szCs w:val="20"/>
        </w:rPr>
        <w:t>ANEXO I – MODELO DE PROPOSTA</w:t>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t>À</w:t>
      </w:r>
    </w:p>
    <w:p>
      <w:pPr>
        <w:pStyle w:val="Normal"/>
        <w:spacing w:before="0" w:after="0"/>
        <w:rPr>
          <w:rFonts w:eastAsia="" w:cs="Times New Roman" w:eastAsiaTheme="minorEastAsia"/>
          <w:color w:val="000000"/>
          <w:sz w:val="20"/>
          <w:szCs w:val="20"/>
          <w:lang w:eastAsia="pt-BR"/>
        </w:rPr>
      </w:pPr>
      <w:r>
        <w:rPr>
          <w:rFonts w:eastAsia="" w:cs="Times New Roman" w:eastAsiaTheme="minorEastAsia"/>
          <w:b/>
          <w:color w:val="000000"/>
          <w:sz w:val="20"/>
          <w:szCs w:val="20"/>
          <w:lang w:eastAsia="pt-BR"/>
        </w:rPr>
        <w:t>Prefeitura Municipal de São José dos Campos</w:t>
      </w:r>
    </w:p>
    <w:p>
      <w:pPr>
        <w:pStyle w:val="Normal"/>
        <w:spacing w:lineRule="auto" w:line="240" w:before="0" w:after="0"/>
        <w:rPr>
          <w:rFonts w:cs="Times New Roman"/>
        </w:rPr>
      </w:pPr>
      <w:r>
        <w:rPr>
          <w:rFonts w:cs="Times New Roman"/>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themeColor="text1" w:val="000000"/>
          <w:sz w:val="24"/>
          <w:szCs w:val="24"/>
        </w:rPr>
      </w:pPr>
      <w:r>
        <w:rPr>
          <w:rFonts w:cs="Times New Roman"/>
          <w:b/>
          <w:color w:themeColor="text1" w:val="000000"/>
          <w:sz w:val="24"/>
          <w:szCs w:val="24"/>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5"/>
        <w:gridCol w:w="422"/>
        <w:gridCol w:w="290"/>
        <w:gridCol w:w="283"/>
        <w:gridCol w:w="424"/>
        <w:gridCol w:w="421"/>
        <w:gridCol w:w="1707"/>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815"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1237"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ENDEREÇO:</w:t>
            </w:r>
          </w:p>
        </w:tc>
        <w:tc>
          <w:tcPr>
            <w:tcW w:w="5391"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b/>
                <w:kern w:val="0"/>
                <w:sz w:val="20"/>
                <w:szCs w:val="20"/>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1237"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MUNICÍPIO:</w:t>
            </w:r>
          </w:p>
        </w:tc>
        <w:tc>
          <w:tcPr>
            <w:tcW w:w="383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1237"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TELEFONE:</w:t>
            </w:r>
          </w:p>
        </w:tc>
        <w:tc>
          <w:tcPr>
            <w:tcW w:w="383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r>
      <w:tr>
        <w:trPr>
          <w:trHeight w:val="283" w:hRule="atLeast"/>
        </w:trPr>
        <w:tc>
          <w:tcPr>
            <w:tcW w:w="265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GARANTIA (SE FOR O CASO):</w:t>
            </w:r>
          </w:p>
        </w:tc>
        <w:tc>
          <w:tcPr>
            <w:tcW w:w="241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bookmarkStart w:id="0" w:name="_GoBack"/>
            <w:bookmarkStart w:id="1" w:name="_GoBack"/>
            <w:bookmarkEnd w:id="1"/>
          </w:p>
        </w:tc>
      </w:tr>
      <w:tr>
        <w:trPr>
          <w:trHeight w:val="283" w:hRule="atLeast"/>
        </w:trPr>
        <w:tc>
          <w:tcPr>
            <w:tcW w:w="265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20"/>
                <w:szCs w:val="20"/>
              </w:rPr>
            </w:pPr>
            <w:r>
              <w:rPr>
                <w:rFonts w:eastAsia="Calibri" w:cs="Times New Roman"/>
                <w:b/>
                <w:kern w:val="0"/>
                <w:sz w:val="20"/>
                <w:szCs w:val="20"/>
                <w:lang w:val="pt-BR" w:eastAsia="en-US" w:bidi="ar-SA"/>
              </w:rPr>
              <w:t>VALIDADE DA PROPOSTA</w:t>
            </w:r>
          </w:p>
        </w:tc>
        <w:tc>
          <w:tcPr>
            <w:tcW w:w="241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18"/>
                <w:szCs w:val="18"/>
              </w:rPr>
            </w:pPr>
            <w:r>
              <w:rPr>
                <w:rFonts w:eastAsia="Calibri" w:cs="Times New Roman"/>
                <w:b/>
                <w:kern w:val="0"/>
                <w:sz w:val="18"/>
                <w:szCs w:val="18"/>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Depósito Bancário</w:t>
            </w:r>
          </w:p>
        </w:tc>
      </w:tr>
      <w:tr>
        <w:trPr>
          <w:trHeight w:val="283" w:hRule="atLeast"/>
        </w:trPr>
        <w:tc>
          <w:tcPr>
            <w:tcW w:w="265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20"/>
                <w:szCs w:val="20"/>
              </w:rPr>
            </w:pPr>
            <w:r>
              <w:rPr>
                <w:rFonts w:eastAsia="Calibri" w:cs="Times New Roman"/>
                <w:b/>
                <w:sz w:val="20"/>
                <w:szCs w:val="20"/>
              </w:rPr>
            </w:r>
          </w:p>
        </w:tc>
        <w:tc>
          <w:tcPr>
            <w:tcW w:w="241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cs="Times New Roman"/>
                <w:sz w:val="20"/>
                <w:szCs w:val="20"/>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sz w:val="18"/>
                <w:szCs w:val="18"/>
              </w:rPr>
            </w:pPr>
            <w:r>
              <w:rPr>
                <w:rFonts w:eastAsia="Calibri" w:cs="Times New Roman"/>
                <w:b/>
                <w:kern w:val="0"/>
                <w:sz w:val="18"/>
                <w:szCs w:val="18"/>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sz w:val="20"/>
                <w:szCs w:val="20"/>
              </w:rPr>
            </w:pPr>
            <w:r>
              <w:rPr>
                <w:rFonts w:eastAsia="Calibri" w:cs="Times New Roman"/>
                <w:b/>
                <w:kern w:val="0"/>
                <w:sz w:val="20"/>
                <w:szCs w:val="20"/>
                <w:lang w:val="pt-BR" w:eastAsia="en-US" w:bidi="ar-SA"/>
              </w:rPr>
              <w:t>30 (trinta) dias</w:t>
            </w:r>
          </w:p>
        </w:tc>
      </w:tr>
    </w:tbl>
    <w:p>
      <w:pPr>
        <w:pStyle w:val="Normal"/>
        <w:spacing w:lineRule="auto" w:line="240" w:before="0" w:after="0"/>
        <w:jc w:val="center"/>
        <w:rPr>
          <w:rFonts w:cs="Times New Roman"/>
          <w:b/>
          <w:sz w:val="4"/>
          <w:szCs w:val="4"/>
        </w:rPr>
      </w:pPr>
      <w:r>
        <w:rPr>
          <w:rFonts w:cs="Times New Roman"/>
          <w:b/>
          <w:sz w:val="4"/>
          <w:szCs w:val="4"/>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03"/>
        <w:gridCol w:w="883"/>
        <w:gridCol w:w="3630"/>
        <w:gridCol w:w="947"/>
        <w:gridCol w:w="992"/>
        <w:gridCol w:w="984"/>
        <w:gridCol w:w="1284"/>
        <w:gridCol w:w="1275"/>
      </w:tblGrid>
      <w:tr>
        <w:trPr>
          <w:trHeight w:val="330" w:hRule="atLeast"/>
        </w:trPr>
        <w:tc>
          <w:tcPr>
            <w:tcW w:w="603"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Item</w:t>
            </w:r>
          </w:p>
        </w:tc>
        <w:tc>
          <w:tcPr>
            <w:tcW w:w="883"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Código</w:t>
            </w:r>
          </w:p>
        </w:tc>
        <w:tc>
          <w:tcPr>
            <w:tcW w:w="3630"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Descrição</w:t>
            </w:r>
          </w:p>
        </w:tc>
        <w:tc>
          <w:tcPr>
            <w:tcW w:w="947"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Unid.</w:t>
            </w:r>
          </w:p>
        </w:tc>
        <w:tc>
          <w:tcPr>
            <w:tcW w:w="992"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Quant.</w:t>
            </w:r>
          </w:p>
        </w:tc>
        <w:tc>
          <w:tcPr>
            <w:tcW w:w="984"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Valor Unitário</w:t>
            </w:r>
          </w:p>
        </w:tc>
        <w:tc>
          <w:tcPr>
            <w:tcW w:w="1284"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Total</w:t>
            </w:r>
          </w:p>
        </w:tc>
        <w:tc>
          <w:tcPr>
            <w:tcW w:w="1275" w:type="dxa"/>
            <w:tcBorders/>
            <w:vAlign w:val="center"/>
          </w:tcPr>
          <w:p>
            <w:pPr>
              <w:pStyle w:val="CabealhoeRodap"/>
              <w:widowControl/>
              <w:suppressAutoHyphens w:val="true"/>
              <w:spacing w:before="0" w:after="0"/>
              <w:jc w:val="center"/>
              <w:rPr>
                <w:b/>
                <w:sz w:val="20"/>
                <w:szCs w:val="20"/>
                <w:lang w:eastAsia="pt-BR"/>
              </w:rPr>
            </w:pPr>
            <w:r>
              <w:rPr>
                <w:rFonts w:eastAsia="Calibri" w:cs=""/>
                <w:b/>
                <w:kern w:val="0"/>
                <w:sz w:val="20"/>
                <w:szCs w:val="20"/>
                <w:lang w:val="pt-BR" w:eastAsia="pt-BR" w:bidi="ar-SA"/>
              </w:rPr>
              <w:t>Marca/Obs.</w:t>
            </w:r>
          </w:p>
        </w:tc>
      </w:tr>
      <w:tr>
        <w:trPr>
          <w:trHeight w:val="902" w:hRule="atLeast"/>
        </w:trPr>
        <w:tc>
          <w:tcPr>
            <w:tcW w:w="603" w:type="dxa"/>
            <w:tcBorders/>
            <w:vAlign w:val="center"/>
          </w:tcPr>
          <w:p>
            <w:pPr>
              <w:pStyle w:val="CabealhoeRodap"/>
              <w:widowControl/>
              <w:suppressAutoHyphens w:val="true"/>
              <w:spacing w:lineRule="auto" w:line="240" w:before="0" w:after="0"/>
              <w:jc w:val="center"/>
              <w:rPr>
                <w:rFonts w:ascii="Arial" w:hAnsi="Arial" w:cs="Arial"/>
                <w:sz w:val="20"/>
                <w:szCs w:val="20"/>
                <w:lang w:eastAsia="pt-BR"/>
              </w:rPr>
            </w:pPr>
            <w:r>
              <w:rPr>
                <w:rFonts w:eastAsia="Calibri" w:cs="Arial" w:ascii="Arial" w:hAnsi="Arial"/>
                <w:kern w:val="0"/>
                <w:sz w:val="20"/>
                <w:szCs w:val="20"/>
                <w:lang w:val="pt-BR" w:eastAsia="pt-BR" w:bidi="ar-SA"/>
              </w:rPr>
              <w:t>1</w:t>
            </w:r>
          </w:p>
        </w:tc>
        <w:tc>
          <w:tcPr>
            <w:tcW w:w="883" w:type="dxa"/>
            <w:tcBorders/>
            <w:vAlign w:val="center"/>
          </w:tcPr>
          <w:p>
            <w:pPr>
              <w:pStyle w:val="Normal"/>
              <w:widowControl/>
              <w:suppressAutoHyphens w:val="true"/>
              <w:spacing w:lineRule="auto" w:line="240" w:before="0" w:after="0"/>
              <w:jc w:val="center"/>
              <w:rPr>
                <w:rFonts w:ascii="Arial" w:hAnsi="Arial" w:cs="Arial"/>
                <w:sz w:val="20"/>
                <w:szCs w:val="20"/>
                <w:lang w:eastAsia="pt-BR"/>
              </w:rPr>
            </w:pPr>
            <w:r>
              <w:rPr>
                <w:rFonts w:eastAsia="Calibri" w:cs="Arial" w:ascii="Arial" w:hAnsi="Arial"/>
                <w:kern w:val="0"/>
                <w:sz w:val="20"/>
                <w:szCs w:val="20"/>
                <w:lang w:val="pt-BR" w:eastAsia="pt-BR" w:bidi="ar-SA"/>
              </w:rPr>
              <w:t>147399</w:t>
            </w:r>
          </w:p>
        </w:tc>
        <w:tc>
          <w:tcPr>
            <w:tcW w:w="3630" w:type="dxa"/>
            <w:tcBorders/>
            <w:vAlign w:val="center"/>
          </w:tcPr>
          <w:p>
            <w:pPr>
              <w:pStyle w:val="Normal"/>
              <w:widowControl/>
              <w:suppressAutoHyphens w:val="true"/>
              <w:spacing w:lineRule="auto" w:line="240" w:before="120" w:after="120"/>
              <w:jc w:val="both"/>
              <w:rPr>
                <w:rFonts w:ascii="Arial" w:hAnsi="Arial" w:cs="Arial"/>
                <w:color w:val="262626"/>
                <w:sz w:val="18"/>
                <w:szCs w:val="18"/>
                <w:shd w:fill="F9F9F9" w:val="clear"/>
              </w:rPr>
            </w:pPr>
            <w:r>
              <w:rPr>
                <w:rFonts w:eastAsia="Calibri" w:cs="Arial" w:ascii="Arial" w:hAnsi="Arial"/>
                <w:color w:val="262626"/>
                <w:kern w:val="0"/>
                <w:sz w:val="18"/>
                <w:szCs w:val="18"/>
                <w:shd w:fill="F9F9F9" w:val="clear"/>
                <w:lang w:val="pt-BR" w:eastAsia="en-US" w:bidi="ar-SA"/>
              </w:rPr>
              <w:t>POLIVITAMINICO COM MINERAIS PARA USO EM PRE NATAL (GESTANTE) CONTENDO, POR COMPRIMIDO: ACIDO FOLICO ENTRE 300 A 1200 MCG; VITAMINA A ENTRE 1.100 E 5.000 UI (600 A 2.500MCG); VITAMINA B1 (TIAMINA) ENTRE 1,2 A 3,0 MG; VITAMINA B2 (RIBOFLAVINA) ENTRE 1,2 E 3,0 MG; VITAMINA B5 (PANTOTENATO) ENTRE 2,5 A 10,0 MG; VITAMINA B6 (PRIDOXINA) ENTRE 1,0 A 10 MG; VITAMINA B12 (CIANOCOBALAMINA) ENTRE 1 A 8 MCG; VITAMINA C (ACIDO ASCORBICO) ENTRE 55 E 100MG; VITAMINA D ENTRE 200 A 2000 UI (5 A 50 MCG); VITAMINA E ENTRE 8 A 30 UI (10 A 35 MG); COBRE ENTRE 900 E 2.000MCG; CROMO ENTRE 25 E 40 MCG; FERRO ENTRE 12 A 35MG; ZINCO ENTRE 2,5 E 25 MG; E PODENDO CONTER: DHA (ACIDO DOCOSAHEXAENOICO) ATE 300 MG; COLINA ATE 90 MG; VITAMINA B3 (NIACINA) ATE 21 MG; VITAMINA H (BIOTINA) ATE 45 MCG; VITAMINA K ATE 65 MCG; CALCIO ATE 400MG DE SAIS DE CALCIO; IODO ATE 200 MCG; MAGNESIO ATE 100 MG; MOLIBDENIO ATE 50 MCG; SELENIO ATE 35 MCG; NAO DEVE CONTER FLUOR.</w:t>
            </w:r>
          </w:p>
        </w:tc>
        <w:tc>
          <w:tcPr>
            <w:tcW w:w="947" w:type="dxa"/>
            <w:tcBorders/>
            <w:vAlign w:val="center"/>
          </w:tcPr>
          <w:p>
            <w:pPr>
              <w:pStyle w:val="Normal"/>
              <w:widowControl/>
              <w:suppressAutoHyphens w:val="true"/>
              <w:spacing w:lineRule="auto" w:line="240" w:before="0" w:after="0"/>
              <w:jc w:val="center"/>
              <w:rPr>
                <w:rFonts w:ascii="Arial" w:hAnsi="Arial" w:cs="Arial"/>
                <w:sz w:val="20"/>
                <w:szCs w:val="20"/>
                <w:lang w:eastAsia="pt-BR"/>
              </w:rPr>
            </w:pPr>
            <w:r>
              <w:rPr>
                <w:rFonts w:eastAsia="Calibri" w:cs="Arial" w:ascii="Arial" w:hAnsi="Arial"/>
                <w:kern w:val="0"/>
                <w:sz w:val="20"/>
                <w:szCs w:val="20"/>
                <w:lang w:val="pt-BR" w:eastAsia="pt-BR" w:bidi="ar-SA"/>
              </w:rPr>
              <w:t>CP</w:t>
            </w:r>
          </w:p>
        </w:tc>
        <w:tc>
          <w:tcPr>
            <w:tcW w:w="992" w:type="dxa"/>
            <w:tcBorders/>
            <w:vAlign w:val="center"/>
          </w:tcPr>
          <w:p>
            <w:pPr>
              <w:pStyle w:val="Normal"/>
              <w:widowControl/>
              <w:suppressAutoHyphens w:val="true"/>
              <w:spacing w:lineRule="auto" w:line="240" w:before="0" w:after="0"/>
              <w:jc w:val="center"/>
              <w:rPr>
                <w:rFonts w:ascii="Arial" w:hAnsi="Arial" w:cs="Arial"/>
                <w:sz w:val="20"/>
                <w:szCs w:val="20"/>
                <w:lang w:eastAsia="pt-BR"/>
              </w:rPr>
            </w:pPr>
            <w:r>
              <w:rPr>
                <w:rFonts w:eastAsia="Calibri" w:cs="Arial" w:ascii="Arial" w:hAnsi="Arial"/>
                <w:kern w:val="0"/>
                <w:sz w:val="20"/>
                <w:szCs w:val="20"/>
                <w:lang w:val="pt-BR" w:eastAsia="pt-BR" w:bidi="ar-SA"/>
              </w:rPr>
              <w:t>65.000</w:t>
            </w:r>
            <w:bookmarkStart w:id="2" w:name="_GoBack_Copia_1"/>
            <w:bookmarkEnd w:id="2"/>
          </w:p>
        </w:tc>
        <w:tc>
          <w:tcPr>
            <w:tcW w:w="984" w:type="dxa"/>
            <w:tcBorders/>
            <w:vAlign w:val="center"/>
          </w:tcPr>
          <w:p>
            <w:pPr>
              <w:pStyle w:val="Normal"/>
              <w:widowControl/>
              <w:suppressAutoHyphens w:val="true"/>
              <w:spacing w:before="0" w:after="0"/>
              <w:jc w:val="both"/>
              <w:rPr>
                <w:rFonts w:ascii="Arial" w:hAnsi="Arial" w:cs="Arial"/>
                <w:b/>
                <w:sz w:val="20"/>
                <w:szCs w:val="20"/>
                <w:lang w:eastAsia="pt-BR"/>
              </w:rPr>
            </w:pPr>
            <w:r>
              <w:rPr>
                <w:rFonts w:eastAsia="Calibri" w:cs="Arial" w:ascii="Arial" w:hAnsi="Arial"/>
                <w:b/>
                <w:kern w:val="0"/>
                <w:sz w:val="20"/>
                <w:szCs w:val="20"/>
                <w:lang w:val="pt-BR" w:eastAsia="pt-BR" w:bidi="ar-SA"/>
              </w:rPr>
            </w:r>
          </w:p>
        </w:tc>
        <w:tc>
          <w:tcPr>
            <w:tcW w:w="1284" w:type="dxa"/>
            <w:tcBorders/>
            <w:vAlign w:val="center"/>
          </w:tcPr>
          <w:p>
            <w:pPr>
              <w:pStyle w:val="Normal"/>
              <w:widowControl/>
              <w:suppressAutoHyphens w:val="true"/>
              <w:spacing w:before="0" w:after="0"/>
              <w:jc w:val="both"/>
              <w:rPr>
                <w:rFonts w:ascii="Arial" w:hAnsi="Arial" w:cs="Arial"/>
                <w:b/>
                <w:sz w:val="20"/>
                <w:szCs w:val="20"/>
                <w:lang w:eastAsia="pt-BR"/>
              </w:rPr>
            </w:pPr>
            <w:r>
              <w:rPr>
                <w:rFonts w:eastAsia="Calibri" w:cs="Arial" w:ascii="Arial" w:hAnsi="Arial"/>
                <w:b/>
                <w:kern w:val="0"/>
                <w:sz w:val="20"/>
                <w:szCs w:val="20"/>
                <w:lang w:val="pt-BR" w:eastAsia="pt-BR" w:bidi="ar-SA"/>
              </w:rPr>
            </w:r>
          </w:p>
        </w:tc>
        <w:tc>
          <w:tcPr>
            <w:tcW w:w="1275" w:type="dxa"/>
            <w:tcBorders/>
            <w:vAlign w:val="center"/>
          </w:tcPr>
          <w:p>
            <w:pPr>
              <w:pStyle w:val="Normal"/>
              <w:widowControl/>
              <w:suppressAutoHyphens w:val="true"/>
              <w:spacing w:before="0" w:after="0"/>
              <w:jc w:val="both"/>
              <w:rPr>
                <w:rFonts w:ascii="Arial" w:hAnsi="Arial" w:cs="Arial"/>
                <w:sz w:val="20"/>
                <w:szCs w:val="20"/>
                <w:lang w:eastAsia="pt-BR"/>
              </w:rPr>
            </w:pPr>
            <w:r>
              <w:rPr>
                <w:rFonts w:eastAsia="Calibri" w:cs="Arial" w:ascii="Arial" w:hAnsi="Arial"/>
                <w:kern w:val="0"/>
                <w:sz w:val="20"/>
                <w:szCs w:val="20"/>
                <w:lang w:val="pt-BR" w:eastAsia="pt-BR" w:bidi="ar-SA"/>
              </w:rPr>
            </w:r>
          </w:p>
        </w:tc>
      </w:tr>
      <w:tr>
        <w:trPr>
          <w:trHeight w:val="702" w:hRule="atLeast"/>
        </w:trPr>
        <w:tc>
          <w:tcPr>
            <w:tcW w:w="10598" w:type="dxa"/>
            <w:gridSpan w:val="8"/>
            <w:tcBorders/>
            <w:vAlign w:val="center"/>
          </w:tcPr>
          <w:p>
            <w:pPr>
              <w:pStyle w:val="Normal"/>
              <w:widowControl/>
              <w:suppressAutoHyphens w:val="true"/>
              <w:spacing w:before="0" w:after="0"/>
              <w:jc w:val="both"/>
              <w:rPr>
                <w:rFonts w:ascii="Arial" w:hAnsi="Arial" w:cs="Arial"/>
                <w:b/>
                <w:color w:val="262626"/>
                <w:sz w:val="18"/>
                <w:szCs w:val="18"/>
                <w:shd w:fill="F9F9F9" w:val="clear"/>
              </w:rPr>
            </w:pPr>
            <w:r>
              <w:rPr>
                <w:rFonts w:eastAsia="Calibri" w:cs="Arial" w:ascii="Arial" w:hAnsi="Arial"/>
                <w:color w:val="262626"/>
                <w:kern w:val="0"/>
                <w:sz w:val="18"/>
                <w:szCs w:val="18"/>
                <w:shd w:fill="F9F9F9" w:val="clear"/>
                <w:lang w:val="pt-BR" w:eastAsia="en-US" w:bidi="ar-SA"/>
              </w:rPr>
              <w:t>MEDICAMENTO DEVE SER ENTREGUE COM 75% DA SUA VALIDADE.</w:t>
            </w:r>
          </w:p>
        </w:tc>
      </w:tr>
    </w:tbl>
    <w:p>
      <w:pPr>
        <w:pStyle w:val="Normal"/>
        <w:overflowPunct w:val="true"/>
        <w:spacing w:lineRule="auto" w:line="240" w:before="0" w:after="0"/>
        <w:ind w:right="-142"/>
        <w:jc w:val="both"/>
        <w:textAlignment w:val="baseline"/>
        <w:rPr>
          <w:rFonts w:ascii="Bookman Old Style" w:hAnsi="Bookman Old Style" w:eastAsia="Times New Roman"/>
          <w:color w:val="000000"/>
          <w:sz w:val="18"/>
          <w:szCs w:val="18"/>
        </w:rPr>
      </w:pPr>
      <w:r>
        <w:rPr>
          <w:rFonts w:eastAsia="Times New Roman" w:ascii="Bookman Old Style" w:hAnsi="Bookman Old Style"/>
          <w:b/>
          <w:bCs/>
          <w:color w:val="000000"/>
          <w:sz w:val="18"/>
          <w:szCs w:val="18"/>
        </w:rPr>
        <w:t>Declaro</w:t>
      </w:r>
      <w:r>
        <w:rPr>
          <w:rFonts w:eastAsia="Times New Roman" w:ascii="Bookman Old Style" w:hAnsi="Bookman Old Style"/>
          <w:color w:val="000000"/>
          <w:sz w:val="18"/>
          <w:szCs w:val="18"/>
        </w:rPr>
        <w:t xml:space="preserve"> que examinei, conheço e me submeto a todas as condições expressas na </w:t>
      </w:r>
      <w:r>
        <w:rPr>
          <w:rFonts w:eastAsia="Times New Roman" w:ascii="Bookman Old Style" w:hAnsi="Bookman Old Style"/>
          <w:sz w:val="18"/>
          <w:szCs w:val="18"/>
        </w:rPr>
        <w:t>presente contratação direta, bem como verifiquei todas as especificações contidas,</w:t>
      </w:r>
      <w:r>
        <w:rPr>
          <w:rFonts w:eastAsia="Times New Roman" w:ascii="Bookman Old Style" w:hAnsi="Bookman Old Style"/>
          <w:color w:val="000000"/>
          <w:sz w:val="18"/>
          <w:szCs w:val="18"/>
        </w:rPr>
        <w:t xml:space="preserve"> não havendo quaisquer discrepâncias nas informações, nas condições de fornecimento e documentos que dele fazem parte. </w:t>
      </w:r>
    </w:p>
    <w:p>
      <w:pPr>
        <w:pStyle w:val="Normal"/>
        <w:overflowPunct w:val="true"/>
        <w:spacing w:lineRule="auto" w:line="240" w:before="0" w:after="0"/>
        <w:ind w:right="-142"/>
        <w:jc w:val="both"/>
        <w:textAlignment w:val="baseline"/>
        <w:rPr>
          <w:rFonts w:ascii="Bookman Old Style" w:hAnsi="Bookman Old Style" w:eastAsia="Times New Roman"/>
          <w:color w:val="000000"/>
          <w:sz w:val="18"/>
          <w:szCs w:val="18"/>
        </w:rPr>
      </w:pPr>
      <w:r>
        <w:rPr>
          <w:rFonts w:eastAsia="Helvetica" w:ascii="Bookman Old Style" w:hAnsi="Bookman Old Style"/>
          <w:b/>
          <w:bCs/>
          <w:sz w:val="18"/>
          <w:szCs w:val="18"/>
        </w:rPr>
        <w:t>Declaro</w:t>
      </w:r>
      <w:r>
        <w:rPr>
          <w:rFonts w:eastAsia="Helvetica" w:ascii="Bookman Old Style" w:hAnsi="Bookman Old Style"/>
          <w:sz w:val="18"/>
          <w:szCs w:val="18"/>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overflowPunct w:val="true"/>
        <w:spacing w:lineRule="auto" w:line="240" w:before="0" w:after="0"/>
        <w:ind w:right="-142"/>
        <w:jc w:val="both"/>
        <w:textAlignment w:val="baseline"/>
        <w:rPr>
          <w:rFonts w:ascii="Bookman Old Style" w:hAnsi="Bookman Old Style" w:eastAsia="Helvetica"/>
          <w:color w:val="FF0000"/>
          <w:sz w:val="18"/>
          <w:szCs w:val="18"/>
        </w:rPr>
      </w:pPr>
      <w:r>
        <w:rPr>
          <w:rFonts w:eastAsia="Times New Roman" w:ascii="Bookman Old Style" w:hAnsi="Bookman Old Style"/>
          <w:b/>
          <w:bCs/>
          <w:color w:val="000000"/>
          <w:sz w:val="18"/>
          <w:szCs w:val="18"/>
        </w:rPr>
        <w:t>Declaro</w:t>
      </w:r>
      <w:r>
        <w:rPr>
          <w:rFonts w:eastAsia="Times New Roman" w:ascii="Bookman Old Style"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rPr>
      </w:pPr>
      <w:r>
        <w:rPr>
          <w:rFonts w:cs="Times New Roman"/>
          <w:sz w:val="20"/>
          <w:szCs w:val="20"/>
        </w:rPr>
        <mc:AlternateContent>
          <mc:Choice Requires="wps">
            <w:drawing>
              <wp:anchor behindDoc="0" distT="5080" distB="5080" distL="5080" distR="5080" simplePos="0" locked="0" layoutInCell="1" allowOverlap="1" relativeHeight="12"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pPr>
        <w:pStyle w:val="Normal"/>
        <w:spacing w:lineRule="auto" w:line="240" w:before="0" w:after="0"/>
        <w:rPr>
          <w:rFonts w:cs="Times New Roman"/>
          <w:sz w:val="20"/>
          <w:szCs w:val="20"/>
        </w:rPr>
      </w:pPr>
      <w:r>
        <w:rPr>
          <w:rFonts w:cs="Times New Roman"/>
          <w:sz w:val="20"/>
          <w:szCs w:val="20"/>
        </w:rPr>
        <w:t>DATA:            /              /</w:t>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t>_____________________________________</w:t>
      </w:r>
    </w:p>
    <w:p>
      <w:pPr>
        <w:pStyle w:val="Normal"/>
        <w:spacing w:lineRule="auto" w:line="240" w:before="0" w:after="0"/>
        <w:ind w:firstLine="708" w:left="708"/>
        <w:rPr>
          <w:rFonts w:cs="Times New Roman"/>
          <w:sz w:val="20"/>
          <w:szCs w:val="20"/>
        </w:rPr>
      </w:pPr>
      <w:r>
        <w:rPr>
          <w:rFonts w:cs="Times New Roman"/>
          <w:sz w:val="20"/>
          <w:szCs w:val="20"/>
        </w:rPr>
        <w:t>Assinatura</w:t>
      </w:r>
      <w:r>
        <w:br w:type="page"/>
      </w:r>
    </w:p>
    <w:p>
      <w:pPr>
        <w:pStyle w:val="Normal"/>
        <w:spacing w:lineRule="auto" w:line="240" w:before="0" w:after="0"/>
        <w:jc w:val="center"/>
        <w:rPr>
          <w:rFonts w:eastAsia="" w:cs="Times New Roman" w:eastAsiaTheme="minorEastAsia"/>
          <w:b/>
          <w:color w:val="FF0000"/>
          <w:sz w:val="20"/>
          <w:szCs w:val="20"/>
          <w:lang w:eastAsia="pt-BR"/>
        </w:rPr>
      </w:pPr>
      <w:r>
        <w:rPr>
          <w:rFonts w:eastAsia="" w:cs="Times New Roman" w:eastAsiaTheme="minorEastAsia"/>
          <w:b/>
          <w:color w:val="FF0000"/>
          <w:sz w:val="20"/>
          <w:szCs w:val="20"/>
          <w:lang w:eastAsia="pt-BR"/>
        </w:rPr>
        <w:t>SOMENTE PARA EMPRESA VENCEDORA</w:t>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Times New Roman"/>
          <w:b/>
          <w:sz w:val="20"/>
          <w:szCs w:val="20"/>
        </w:rPr>
      </w:pPr>
      <w:r>
        <w:rPr>
          <w:rFonts w:cs="Times New Roman"/>
          <w:b/>
          <w:sz w:val="20"/>
          <w:szCs w:val="20"/>
        </w:rPr>
        <w:t>ANEXO III – DOCUMENTOS DE HABILITAÇÃO</w:t>
      </w:r>
    </w:p>
    <w:p>
      <w:pPr>
        <w:pStyle w:val="Normal"/>
        <w:spacing w:lineRule="auto" w:line="240" w:before="0" w:after="0"/>
        <w:jc w:val="center"/>
        <w:rPr>
          <w:rFonts w:cs="Times New Roman"/>
          <w:b/>
          <w:sz w:val="20"/>
          <w:szCs w:val="20"/>
        </w:rPr>
      </w:pPr>
      <w:r>
        <w:rPr>
          <w:rFonts w:cs="Times New Roman"/>
          <w:b/>
          <w:sz w:val="20"/>
          <w:szCs w:val="20"/>
        </w:rPr>
      </w:r>
    </w:p>
    <w:p>
      <w:pPr>
        <w:pStyle w:val="ListParagraph"/>
        <w:numPr>
          <w:ilvl w:val="0"/>
          <w:numId w:val="3"/>
        </w:numPr>
        <w:jc w:val="both"/>
        <w:rPr>
          <w:sz w:val="24"/>
          <w:szCs w:val="24"/>
        </w:rPr>
      </w:pPr>
      <w:r>
        <w:rPr>
          <w:sz w:val="24"/>
          <w:szCs w:val="24"/>
        </w:rPr>
        <w:t>Para fins de habilitações serão exigidos os seguintes documentos:</w:t>
      </w:r>
    </w:p>
    <w:p>
      <w:pPr>
        <w:pStyle w:val="Normal"/>
        <w:jc w:val="both"/>
        <w:rPr>
          <w:sz w:val="24"/>
          <w:szCs w:val="24"/>
        </w:rPr>
      </w:pPr>
      <w:r>
        <w:rPr>
          <w:sz w:val="24"/>
          <w:szCs w:val="24"/>
        </w:rPr>
        <w:t>I</w:t>
        <w:tab/>
        <w:t>- Comprovante de Inscrição e Situação Cadastral no Cadastro Nacional de Pessoa Jurídica do Ministério da Fazenda (CNPJ/MF);</w:t>
      </w:r>
    </w:p>
    <w:p>
      <w:pPr>
        <w:pStyle w:val="Normal"/>
        <w:jc w:val="both"/>
        <w:rPr>
          <w:sz w:val="24"/>
          <w:szCs w:val="24"/>
        </w:rPr>
      </w:pPr>
      <w:r>
        <w:rPr>
          <w:sz w:val="24"/>
          <w:szCs w:val="24"/>
        </w:rPr>
        <w:t>II - Comprovante de Inscrição no Cadastro de Contribuinte estadual ou municipal, se houver, relativo ao domicílio ou sede da licitante, pertinente ao seu ramo de atividade e compatível com o objeto da presente Cotação;</w:t>
      </w:r>
    </w:p>
    <w:p>
      <w:pPr>
        <w:pStyle w:val="Normal"/>
        <w:jc w:val="both"/>
        <w:rPr>
          <w:sz w:val="24"/>
          <w:szCs w:val="24"/>
        </w:rPr>
      </w:pPr>
      <w:r>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pPr>
        <w:pStyle w:val="Normal"/>
        <w:jc w:val="both"/>
        <w:rPr>
          <w:sz w:val="24"/>
          <w:szCs w:val="24"/>
        </w:rPr>
      </w:pPr>
      <w:r>
        <w:rPr>
          <w:sz w:val="24"/>
          <w:szCs w:val="24"/>
        </w:rPr>
        <w:t>IV - Certidão Conjunta Negativa de Débitos ou Positiva com efeito de Negativa, relativa a Tributos Federais (inclusive as contribuições sociais) e à Dívida Ativa da União;</w:t>
      </w:r>
    </w:p>
    <w:p>
      <w:pPr>
        <w:pStyle w:val="Normal"/>
        <w:jc w:val="both"/>
        <w:rPr>
          <w:sz w:val="24"/>
          <w:szCs w:val="24"/>
        </w:rPr>
      </w:pPr>
      <w:r>
        <w:rPr>
          <w:sz w:val="24"/>
          <w:szCs w:val="24"/>
        </w:rPr>
        <w:t>V - Certidão relativa à regularidade perante o Fundo de Garantia por Tempo de Serviço (FGTS), expedido pela Caixa Econômica Federal – CEF;</w:t>
      </w:r>
    </w:p>
    <w:p>
      <w:pPr>
        <w:pStyle w:val="Normal"/>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pPr>
        <w:pStyle w:val="Normal"/>
        <w:jc w:val="both"/>
        <w:rPr>
          <w:sz w:val="24"/>
          <w:szCs w:val="24"/>
        </w:rPr>
      </w:pPr>
      <w:r>
        <w:rPr>
          <w:sz w:val="24"/>
          <w:szCs w:val="24"/>
        </w:rPr>
        <w:t>VII – O cumprimento do disposto no inciso XXXIII do art. 7º da Constituição Federal.</w:t>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tab/>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Calibri" w:cstheme="minorHAnsi"/>
          <w:sz w:val="24"/>
          <w:szCs w:val="24"/>
        </w:rPr>
      </w:pPr>
      <w:r>
        <w:rPr>
          <w:rFonts w:cs="Calibri" w:cstheme="minorHAnsi"/>
          <w:b/>
          <w:sz w:val="24"/>
          <w:szCs w:val="24"/>
        </w:rPr>
        <w:t>ANEXO III</w:t>
      </w:r>
    </w:p>
    <w:p>
      <w:pPr>
        <w:pStyle w:val="Normal"/>
        <w:spacing w:lineRule="auto" w:line="240" w:before="0" w:after="0"/>
        <w:rPr>
          <w:rFonts w:cs="Calibri" w:cstheme="minorHAnsi"/>
          <w:sz w:val="24"/>
          <w:szCs w:val="24"/>
        </w:rPr>
      </w:pPr>
      <w:r>
        <w:rPr>
          <w:rFonts w:cs="Calibri" w:cstheme="minorHAnsi"/>
          <w:sz w:val="24"/>
          <w:szCs w:val="24"/>
        </w:rPr>
        <w:t>À</w:t>
      </w:r>
    </w:p>
    <w:p>
      <w:pPr>
        <w:pStyle w:val="Normal"/>
        <w:spacing w:lineRule="auto" w:line="240" w:before="0" w:after="0"/>
        <w:rPr>
          <w:rFonts w:cs="Calibri" w:cstheme="minorHAnsi"/>
          <w:sz w:val="24"/>
          <w:szCs w:val="24"/>
        </w:rPr>
      </w:pPr>
      <w:r>
        <w:rPr>
          <w:rFonts w:cs="Calibri" w:cstheme="minorHAnsi"/>
          <w:sz w:val="24"/>
          <w:szCs w:val="24"/>
        </w:rPr>
        <w:t>PREFEITURA DE SÃO JOSÉ DOS CAMPOS</w:t>
      </w:r>
    </w:p>
    <w:p>
      <w:pPr>
        <w:pStyle w:val="Normal"/>
        <w:spacing w:lineRule="auto" w:line="240" w:before="0" w:after="0"/>
        <w:jc w:val="center"/>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b/>
          <w:sz w:val="24"/>
          <w:szCs w:val="24"/>
        </w:rPr>
        <w:t>REF.: Dispensa Nº 3168/2026</w:t>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OBJETO: COMPRA DE MEDICAMENTO: URSODESOXICOLICO, ACIDO 300 MG </w:t>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center"/>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b/>
          <w:sz w:val="24"/>
          <w:szCs w:val="24"/>
        </w:rPr>
      </w:pPr>
      <w:r>
        <w:rPr>
          <w:sz w:val="24"/>
          <w:szCs w:val="24"/>
        </w:rPr>
        <w:t>Empresa ..............................................., CNPJ ........................., sediada a ..................................., Cidade de ......................./SP.</w:t>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hanging="340" w:left="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ind w:hanging="720" w:left="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hanging="720" w:left="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mc:AlternateContent>
          <mc:Choice Requires="wps">
            <w:drawing>
              <wp:anchor behindDoc="0" distT="1905" distB="1905" distL="2540" distR="1270" simplePos="0" locked="0" layoutInCell="1" allowOverlap="1" relativeHeight="14"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w:r>
    </w:p>
    <w:p>
      <w:pPr>
        <w:pStyle w:val="Normal"/>
        <w:rPr>
          <w:rFonts w:cs="Calibri" w:cstheme="minorHAnsi"/>
          <w:i/>
          <w:i/>
          <w:sz w:val="24"/>
          <w:szCs w:val="24"/>
          <w:lang w:eastAsia="zh-CN"/>
        </w:rPr>
      </w:pPr>
      <w:r>
        <w:rPr>
          <w:rFonts w:cs="Calibri" w:cstheme="minorHAnsi"/>
          <w:i/>
          <w:sz w:val="24"/>
          <w:szCs w:val="24"/>
          <w:lang w:eastAsia="zh-CN"/>
        </w:rPr>
        <w:t>____ (local e data) _____</w:t>
      </w:r>
    </w:p>
    <w:p>
      <w:pPr>
        <w:pStyle w:val="Normal"/>
        <w:rPr>
          <w:rFonts w:cs="Calibri" w:cstheme="minorHAnsi"/>
          <w:i/>
          <w:i/>
          <w:sz w:val="24"/>
          <w:szCs w:val="24"/>
          <w:lang w:eastAsia="zh-CN"/>
        </w:rPr>
      </w:pPr>
      <w:r>
        <w:rPr>
          <w:rFonts w:cs="Calibri" w:cstheme="minorHAnsi"/>
          <w:i/>
          <w:sz w:val="24"/>
          <w:szCs w:val="24"/>
          <w:lang w:eastAsia="zh-CN"/>
        </w:rPr>
        <w:t>____ (assinatura autorizada) ____</w:t>
      </w:r>
    </w:p>
    <w:p>
      <w:pPr>
        <w:pStyle w:val="Normal"/>
        <w:spacing w:lineRule="auto" w:line="240" w:before="0" w:after="0"/>
        <w:ind w:left="-142"/>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sectPr>
      <w:headerReference w:type="default" r:id="rId3"/>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Saúde </w:t>
    </w:r>
  </w:p>
  <w:p>
    <w:pPr>
      <w:pStyle w:val="Normal"/>
      <w:spacing w:lineRule="auto" w:line="240" w:before="0" w:after="0"/>
      <w:ind w:left="851"/>
      <w:jc w:val="center"/>
      <w:rPr/>
    </w:pPr>
    <w:r>
      <w:rPr/>
      <w:t>Departamento de Compras e Licitações da Saúde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numFmt w:val="decimal"/>
      <w:lvlText w:val="%1.%2"/>
      <w:lvlJc w:val="left"/>
      <w:pPr>
        <w:tabs>
          <w:tab w:val="num" w:pos="0"/>
        </w:tabs>
        <w:ind w:left="578" w:hanging="360"/>
      </w:pPr>
      <w:rPr/>
    </w:lvl>
    <w:lvl w:ilvl="2">
      <w:start w:val="1"/>
      <w:numFmt w:val="decimal"/>
      <w:lvlText w:val="%1.%2.%3"/>
      <w:lvlJc w:val="left"/>
      <w:pPr>
        <w:tabs>
          <w:tab w:val="num" w:pos="0"/>
        </w:tabs>
        <w:ind w:left="938" w:hanging="720"/>
      </w:pPr>
      <w:rPr/>
    </w:lvl>
    <w:lvl w:ilvl="3">
      <w:start w:val="1"/>
      <w:numFmt w:val="decimal"/>
      <w:lvlText w:val="%1.%2.%3.%4"/>
      <w:lvlJc w:val="left"/>
      <w:pPr>
        <w:tabs>
          <w:tab w:val="num" w:pos="0"/>
        </w:tabs>
        <w:ind w:left="938" w:hanging="720"/>
      </w:pPr>
      <w:rPr/>
    </w:lvl>
    <w:lvl w:ilvl="4">
      <w:start w:val="1"/>
      <w:numFmt w:val="decimal"/>
      <w:lvlText w:val="%1.%2.%3.%4.%5"/>
      <w:lvlJc w:val="left"/>
      <w:pPr>
        <w:tabs>
          <w:tab w:val="num" w:pos="0"/>
        </w:tabs>
        <w:ind w:left="1298" w:hanging="1080"/>
      </w:pPr>
      <w:rPr/>
    </w:lvl>
    <w:lvl w:ilvl="5">
      <w:start w:val="1"/>
      <w:numFmt w:val="decimal"/>
      <w:lvlText w:val="%1.%2.%3.%4.%5.%6"/>
      <w:lvlJc w:val="left"/>
      <w:pPr>
        <w:tabs>
          <w:tab w:val="num" w:pos="0"/>
        </w:tabs>
        <w:ind w:left="1298" w:hanging="1080"/>
      </w:pPr>
      <w:rPr/>
    </w:lvl>
    <w:lvl w:ilvl="6">
      <w:start w:val="1"/>
      <w:numFmt w:val="decimal"/>
      <w:lvlText w:val="%1.%2.%3.%4.%5.%6.%7"/>
      <w:lvlJc w:val="left"/>
      <w:pPr>
        <w:tabs>
          <w:tab w:val="num" w:pos="0"/>
        </w:tabs>
        <w:ind w:left="1658" w:hanging="1440"/>
      </w:pPr>
      <w:rPr/>
    </w:lvl>
    <w:lvl w:ilvl="7">
      <w:start w:val="1"/>
      <w:numFmt w:val="decimal"/>
      <w:lvlText w:val="%1.%2.%3.%4.%5.%6.%7.%8"/>
      <w:lvlJc w:val="left"/>
      <w:pPr>
        <w:tabs>
          <w:tab w:val="num" w:pos="0"/>
        </w:tabs>
        <w:ind w:left="1658" w:hanging="1440"/>
      </w:pPr>
      <w:rPr/>
    </w:lvl>
    <w:lvl w:ilvl="8">
      <w:start w:val="1"/>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Hyperlink">
    <w:name w:val="Hyperlink"/>
    <w:basedOn w:val="DefaultParagraphFont"/>
    <w:uiPriority w:val="99"/>
    <w:unhideWhenUsed/>
    <w:rsid w:val="007362a0"/>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PargrafodaListaChar" w:customStyle="1">
    <w:name w:val="Parágrafo da Lista Char"/>
    <w:link w:val="ListParagraph"/>
    <w:uiPriority w:val="34"/>
    <w:qFormat/>
    <w:rsid w:val="00813177"/>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5544E-265D-4CA9-9FEA-F6D01864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Application>LibreOffice/7.6.4.1$Windows_X86_64 LibreOffice_project/e19e193f88cd6c0525a17fb7a176ed8e6a3e2aa1</Application>
  <AppVersion>15.0000</AppVersion>
  <Pages>10</Pages>
  <Words>2783</Words>
  <Characters>15177</Characters>
  <CharactersWithSpaces>17901</CharactersWithSpaces>
  <Paragraphs>172</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2024-01-08T20:51:00Z</dcterms:created>
  <dc:creator>Diego de Souza Santos</dc:creator>
  <dc:description/>
  <dc:language>pt-BR</dc:language>
  <cp:lastModifiedBy/>
  <cp:lastPrinted>2023-12-14T17:10:00Z</cp:lastPrinted>
  <dcterms:modified xsi:type="dcterms:W3CDTF">2026-09-15T13:44:25Z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file>